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C2C68" w14:paraId="7FE3D1CE" w14:textId="77777777" w:rsidTr="00345119">
        <w:tc>
          <w:tcPr>
            <w:tcW w:w="9576" w:type="dxa"/>
            <w:noWrap/>
          </w:tcPr>
          <w:p w14:paraId="0672DF0E" w14:textId="77777777" w:rsidR="008423E4" w:rsidRPr="0022177D" w:rsidRDefault="00444D21" w:rsidP="00FF41AD">
            <w:pPr>
              <w:pStyle w:val="Heading1"/>
            </w:pPr>
            <w:r w:rsidRPr="00631897">
              <w:t>BILL ANALYSIS</w:t>
            </w:r>
          </w:p>
        </w:tc>
      </w:tr>
    </w:tbl>
    <w:p w14:paraId="61F4D51A" w14:textId="77777777" w:rsidR="008423E4" w:rsidRPr="0022177D" w:rsidRDefault="008423E4" w:rsidP="00FF41AD">
      <w:pPr>
        <w:jc w:val="center"/>
      </w:pPr>
    </w:p>
    <w:p w14:paraId="08A03DA9" w14:textId="77777777" w:rsidR="008423E4" w:rsidRPr="00B31F0E" w:rsidRDefault="008423E4" w:rsidP="00FF41AD"/>
    <w:p w14:paraId="066A2F80" w14:textId="77777777" w:rsidR="008423E4" w:rsidRPr="00742794" w:rsidRDefault="008423E4" w:rsidP="00FF41A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C2C68" w14:paraId="2F8CB483" w14:textId="77777777" w:rsidTr="00345119">
        <w:tc>
          <w:tcPr>
            <w:tcW w:w="9576" w:type="dxa"/>
          </w:tcPr>
          <w:p w14:paraId="32ACF055" w14:textId="1F604B73" w:rsidR="008423E4" w:rsidRPr="00861995" w:rsidRDefault="00444D21" w:rsidP="00FF41AD">
            <w:pPr>
              <w:jc w:val="right"/>
            </w:pPr>
            <w:r>
              <w:t>H.B. 4571</w:t>
            </w:r>
          </w:p>
        </w:tc>
      </w:tr>
      <w:tr w:rsidR="002C2C68" w14:paraId="4883E7E9" w14:textId="77777777" w:rsidTr="00345119">
        <w:tc>
          <w:tcPr>
            <w:tcW w:w="9576" w:type="dxa"/>
          </w:tcPr>
          <w:p w14:paraId="43F5D1F1" w14:textId="0CA5D4F3" w:rsidR="008423E4" w:rsidRPr="00861995" w:rsidRDefault="00444D21" w:rsidP="00FF41AD">
            <w:pPr>
              <w:jc w:val="right"/>
            </w:pPr>
            <w:r>
              <w:t xml:space="preserve">By: </w:t>
            </w:r>
            <w:r w:rsidR="00E40D87">
              <w:t>Bucy</w:t>
            </w:r>
          </w:p>
        </w:tc>
      </w:tr>
      <w:tr w:rsidR="002C2C68" w14:paraId="3E8A2440" w14:textId="77777777" w:rsidTr="00345119">
        <w:tc>
          <w:tcPr>
            <w:tcW w:w="9576" w:type="dxa"/>
          </w:tcPr>
          <w:p w14:paraId="0764BBED" w14:textId="06CBF94E" w:rsidR="008423E4" w:rsidRPr="00861995" w:rsidRDefault="00444D21" w:rsidP="00FF41AD">
            <w:pPr>
              <w:jc w:val="right"/>
            </w:pPr>
            <w:r>
              <w:t>Higher Education</w:t>
            </w:r>
          </w:p>
        </w:tc>
      </w:tr>
      <w:tr w:rsidR="002C2C68" w14:paraId="3AED8AAF" w14:textId="77777777" w:rsidTr="00345119">
        <w:tc>
          <w:tcPr>
            <w:tcW w:w="9576" w:type="dxa"/>
          </w:tcPr>
          <w:p w14:paraId="549D8B15" w14:textId="4C368A8D" w:rsidR="008423E4" w:rsidRDefault="00444D21" w:rsidP="00FF41AD">
            <w:pPr>
              <w:jc w:val="right"/>
            </w:pPr>
            <w:r>
              <w:t>Committee Report (Unamended)</w:t>
            </w:r>
          </w:p>
        </w:tc>
      </w:tr>
    </w:tbl>
    <w:p w14:paraId="45EE1E2F" w14:textId="77777777" w:rsidR="008423E4" w:rsidRDefault="008423E4" w:rsidP="00FF41AD">
      <w:pPr>
        <w:tabs>
          <w:tab w:val="right" w:pos="9360"/>
        </w:tabs>
      </w:pPr>
    </w:p>
    <w:p w14:paraId="5B08DD45" w14:textId="77777777" w:rsidR="008423E4" w:rsidRDefault="008423E4" w:rsidP="00FF41AD"/>
    <w:p w14:paraId="7E1D84FE" w14:textId="77777777" w:rsidR="008423E4" w:rsidRDefault="008423E4" w:rsidP="00FF41A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C2C68" w14:paraId="69937F58" w14:textId="77777777" w:rsidTr="00345119">
        <w:tc>
          <w:tcPr>
            <w:tcW w:w="9576" w:type="dxa"/>
          </w:tcPr>
          <w:p w14:paraId="4D83F7D0" w14:textId="77777777" w:rsidR="008423E4" w:rsidRPr="00A8133F" w:rsidRDefault="00444D21" w:rsidP="00FF41A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C6C3FF" w14:textId="77777777" w:rsidR="008423E4" w:rsidRDefault="008423E4" w:rsidP="00FF41AD"/>
          <w:p w14:paraId="4B8E5EA0" w14:textId="535C4481" w:rsidR="00BE0D3D" w:rsidRDefault="00444D21" w:rsidP="00FF41AD">
            <w:pPr>
              <w:pStyle w:val="Header"/>
              <w:jc w:val="both"/>
            </w:pPr>
            <w:r>
              <w:t>A</w:t>
            </w:r>
            <w:r w:rsidR="00E40D87" w:rsidRPr="00E40D87">
              <w:t xml:space="preserve"> constituent </w:t>
            </w:r>
            <w:r>
              <w:t>expressed</w:t>
            </w:r>
            <w:r w:rsidR="00E40D87" w:rsidRPr="00E40D87">
              <w:t xml:space="preserve"> concern about the level of food insecurity faced by many students at postsecondary institutions in Texas.</w:t>
            </w:r>
            <w:r w:rsidR="00E40D87">
              <w:t xml:space="preserve"> According to a report by </w:t>
            </w:r>
            <w:r w:rsidR="00EF556F">
              <w:t xml:space="preserve">The </w:t>
            </w:r>
            <w:r w:rsidR="00E40D87">
              <w:t>U</w:t>
            </w:r>
            <w:r w:rsidR="00EF556F">
              <w:t xml:space="preserve">niversity of </w:t>
            </w:r>
            <w:r w:rsidR="00E40D87">
              <w:t>T</w:t>
            </w:r>
            <w:r w:rsidR="00EF556F">
              <w:t>exas</w:t>
            </w:r>
            <w:r w:rsidR="00E40D87">
              <w:t xml:space="preserve"> Student Government's Food Insecurity Action Team in 2022, around </w:t>
            </w:r>
            <w:r>
              <w:t>one</w:t>
            </w:r>
            <w:r w:rsidR="00E40D87">
              <w:t xml:space="preserve"> in </w:t>
            </w:r>
            <w:r>
              <w:t>three</w:t>
            </w:r>
            <w:r w:rsidR="00E40D87">
              <w:t xml:space="preserve"> students at UT</w:t>
            </w:r>
            <w:r w:rsidR="00EF556F">
              <w:t xml:space="preserve"> </w:t>
            </w:r>
            <w:r w:rsidR="00E40D87">
              <w:t xml:space="preserve">Austin experienced food insecurity, </w:t>
            </w:r>
            <w:r w:rsidR="00F744C5">
              <w:t xml:space="preserve">with </w:t>
            </w:r>
            <w:r w:rsidR="00E40D87">
              <w:t>more than half of those being first</w:t>
            </w:r>
            <w:r w:rsidR="00F35726">
              <w:t>-</w:t>
            </w:r>
            <w:r w:rsidR="00E40D87">
              <w:t>generation college students</w:t>
            </w:r>
            <w:r w:rsidR="00F744C5">
              <w:t>.</w:t>
            </w:r>
            <w:r w:rsidR="00C425CC">
              <w:t xml:space="preserve"> </w:t>
            </w:r>
            <w:r w:rsidR="00F744C5">
              <w:t>A</w:t>
            </w:r>
            <w:r w:rsidR="00C425CC">
              <w:t xml:space="preserve"> 2021 National College Health Assessment </w:t>
            </w:r>
            <w:r w:rsidR="00EF556F">
              <w:t>reported</w:t>
            </w:r>
            <w:r w:rsidR="00D504AD">
              <w:t xml:space="preserve"> a similar figure </w:t>
            </w:r>
            <w:r w:rsidR="001B40D0">
              <w:t xml:space="preserve">as the national average </w:t>
            </w:r>
            <w:r w:rsidR="00D504AD">
              <w:t xml:space="preserve">for </w:t>
            </w:r>
            <w:r w:rsidR="001B40D0">
              <w:t xml:space="preserve">college and university </w:t>
            </w:r>
            <w:r w:rsidR="00D504AD">
              <w:t>student</w:t>
            </w:r>
            <w:r w:rsidR="001B40D0">
              <w:t>s</w:t>
            </w:r>
            <w:r w:rsidR="00D504AD">
              <w:t xml:space="preserve"> with </w:t>
            </w:r>
            <w:r w:rsidR="001B40D0">
              <w:t>food insecurity</w:t>
            </w:r>
            <w:r w:rsidR="00E40D87">
              <w:t xml:space="preserve">. </w:t>
            </w:r>
          </w:p>
          <w:p w14:paraId="23657074" w14:textId="77777777" w:rsidR="00BE0D3D" w:rsidRDefault="00BE0D3D" w:rsidP="00FF41AD">
            <w:pPr>
              <w:pStyle w:val="Header"/>
              <w:jc w:val="both"/>
            </w:pPr>
          </w:p>
          <w:p w14:paraId="1659FAE3" w14:textId="0C1DD060" w:rsidR="008423E4" w:rsidRDefault="00444D21" w:rsidP="00FF4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Many </w:t>
            </w:r>
            <w:r>
              <w:t>first</w:t>
            </w:r>
            <w:r w:rsidR="005578FF">
              <w:t>-</w:t>
            </w:r>
            <w:r>
              <w:t>time college students struggle with an abrupt change to managing their own life, routines, study habits, social life</w:t>
            </w:r>
            <w:r w:rsidR="00EF556F">
              <w:t>,</w:t>
            </w:r>
            <w:r>
              <w:t xml:space="preserve"> and nutrition. Students also face limited options on college campuses in terms of</w:t>
            </w:r>
            <w:r w:rsidR="00935515">
              <w:t xml:space="preserve"> fulfilling</w:t>
            </w:r>
            <w:r>
              <w:t xml:space="preserve"> their </w:t>
            </w:r>
            <w:r w:rsidR="004F2215">
              <w:t>nutritional needs</w:t>
            </w:r>
            <w:r>
              <w:t>, with few campuses having easily accessible grocery store</w:t>
            </w:r>
            <w:r w:rsidR="004F2215">
              <w:t>s</w:t>
            </w:r>
            <w:r>
              <w:t xml:space="preserve"> for students and most </w:t>
            </w:r>
            <w:r w:rsidR="004F2215">
              <w:t xml:space="preserve">campuses </w:t>
            </w:r>
            <w:r w:rsidR="00363C99">
              <w:t>having</w:t>
            </w:r>
            <w:r>
              <w:t xml:space="preserve"> dining halls and fast food restaurants, m</w:t>
            </w:r>
            <w:r>
              <w:t>any of which can be expensive and unhealthy. This combination of food insecurity and the stress of college</w:t>
            </w:r>
            <w:r w:rsidR="00935515">
              <w:t xml:space="preserve"> </w:t>
            </w:r>
            <w:r w:rsidR="00EF556F">
              <w:t xml:space="preserve">can </w:t>
            </w:r>
            <w:r>
              <w:t>adversely affect academic performance, physical well</w:t>
            </w:r>
            <w:r w:rsidR="00F35726">
              <w:t>-</w:t>
            </w:r>
            <w:r>
              <w:t>being</w:t>
            </w:r>
            <w:r w:rsidR="00363C99">
              <w:t>,</w:t>
            </w:r>
            <w:r>
              <w:t xml:space="preserve"> and mental health. </w:t>
            </w:r>
            <w:r w:rsidRPr="00E40D87">
              <w:t xml:space="preserve">H.B. 4571 </w:t>
            </w:r>
            <w:r w:rsidR="001B40D0">
              <w:t>seeks to</w:t>
            </w:r>
            <w:r w:rsidR="001B40D0" w:rsidRPr="00E40D87">
              <w:t xml:space="preserve"> </w:t>
            </w:r>
            <w:r w:rsidRPr="00E40D87">
              <w:t xml:space="preserve">establish a </w:t>
            </w:r>
            <w:r w:rsidR="001B40D0">
              <w:t>h</w:t>
            </w:r>
            <w:r w:rsidRPr="00E40D87">
              <w:t>unger</w:t>
            </w:r>
            <w:r w:rsidR="00793EA4">
              <w:t>-</w:t>
            </w:r>
            <w:r w:rsidR="001B40D0">
              <w:t>f</w:t>
            </w:r>
            <w:r w:rsidRPr="00E40D87">
              <w:t xml:space="preserve">ree </w:t>
            </w:r>
            <w:r w:rsidR="001B40D0">
              <w:t>c</w:t>
            </w:r>
            <w:r w:rsidRPr="00E40D87">
              <w:t xml:space="preserve">ampus </w:t>
            </w:r>
            <w:r w:rsidR="001B40D0">
              <w:t>p</w:t>
            </w:r>
            <w:r w:rsidRPr="00E40D87">
              <w:t>rogram</w:t>
            </w:r>
            <w:r w:rsidR="001B40D0">
              <w:t xml:space="preserve"> and sets out</w:t>
            </w:r>
            <w:r w:rsidRPr="00E40D87">
              <w:t xml:space="preserve"> criteria </w:t>
            </w:r>
            <w:r w:rsidR="001B40D0">
              <w:t xml:space="preserve">for an institution of </w:t>
            </w:r>
            <w:r w:rsidRPr="00E40D87">
              <w:t xml:space="preserve">higher education to be designated as a </w:t>
            </w:r>
            <w:r w:rsidR="001B40D0">
              <w:t>h</w:t>
            </w:r>
            <w:r w:rsidRPr="00E40D87">
              <w:t>unger</w:t>
            </w:r>
            <w:r w:rsidR="00793EA4">
              <w:t>-</w:t>
            </w:r>
            <w:r w:rsidR="001B40D0">
              <w:t>f</w:t>
            </w:r>
            <w:r w:rsidRPr="00E40D87">
              <w:t xml:space="preserve">ree campus by the Texas Higher Education Coordinating Board. </w:t>
            </w:r>
            <w:r w:rsidR="001B40D0">
              <w:t>The bill also provides for the</w:t>
            </w:r>
            <w:r w:rsidRPr="00E40D87">
              <w:t xml:space="preserve"> establish</w:t>
            </w:r>
            <w:r w:rsidR="001B40D0">
              <w:t>ment of</w:t>
            </w:r>
            <w:r w:rsidRPr="00E40D87">
              <w:t xml:space="preserve"> a task force to develop guidelines and best practices for addres</w:t>
            </w:r>
            <w:r w:rsidRPr="00E40D87">
              <w:t xml:space="preserve">sing student hunger on </w:t>
            </w:r>
            <w:r w:rsidR="00BE0D3D">
              <w:t xml:space="preserve">institution </w:t>
            </w:r>
            <w:r w:rsidRPr="00E40D87">
              <w:t>campuses</w:t>
            </w:r>
            <w:r w:rsidR="00793EA4">
              <w:t>, among other provisions</w:t>
            </w:r>
            <w:r w:rsidRPr="00E40D87">
              <w:t xml:space="preserve">. </w:t>
            </w:r>
          </w:p>
          <w:p w14:paraId="14FA8380" w14:textId="77777777" w:rsidR="008423E4" w:rsidRPr="00E26B13" w:rsidRDefault="008423E4" w:rsidP="00FF41AD">
            <w:pPr>
              <w:rPr>
                <w:b/>
              </w:rPr>
            </w:pPr>
          </w:p>
        </w:tc>
      </w:tr>
      <w:tr w:rsidR="002C2C68" w14:paraId="259AC380" w14:textId="77777777" w:rsidTr="00345119">
        <w:tc>
          <w:tcPr>
            <w:tcW w:w="9576" w:type="dxa"/>
          </w:tcPr>
          <w:p w14:paraId="5A893580" w14:textId="77777777" w:rsidR="0017725B" w:rsidRDefault="00444D21" w:rsidP="00FF41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D643DE" w14:textId="77777777" w:rsidR="0017725B" w:rsidRDefault="0017725B" w:rsidP="00FF41AD">
            <w:pPr>
              <w:rPr>
                <w:b/>
                <w:u w:val="single"/>
              </w:rPr>
            </w:pPr>
          </w:p>
          <w:p w14:paraId="1BB313A3" w14:textId="40051614" w:rsidR="0018095E" w:rsidRPr="0018095E" w:rsidRDefault="00444D21" w:rsidP="00FF41AD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14:paraId="670E2B29" w14:textId="77777777" w:rsidR="0017725B" w:rsidRPr="0017725B" w:rsidRDefault="0017725B" w:rsidP="00FF41AD">
            <w:pPr>
              <w:rPr>
                <w:b/>
                <w:u w:val="single"/>
              </w:rPr>
            </w:pPr>
          </w:p>
        </w:tc>
      </w:tr>
      <w:tr w:rsidR="002C2C68" w14:paraId="3471C4E6" w14:textId="77777777" w:rsidTr="00345119">
        <w:tc>
          <w:tcPr>
            <w:tcW w:w="9576" w:type="dxa"/>
          </w:tcPr>
          <w:p w14:paraId="3D4AC5CA" w14:textId="77777777" w:rsidR="008423E4" w:rsidRPr="00A8133F" w:rsidRDefault="00444D21" w:rsidP="00FF41A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92AA60" w14:textId="77777777" w:rsidR="008423E4" w:rsidRDefault="008423E4" w:rsidP="00FF41AD"/>
          <w:p w14:paraId="2067D0FE" w14:textId="6B9F40ED" w:rsidR="0018095E" w:rsidRDefault="00444D21" w:rsidP="00FF4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18095E">
              <w:t>executive commissioner</w:t>
            </w:r>
            <w:r>
              <w:t xml:space="preserve"> of</w:t>
            </w:r>
            <w:r w:rsidR="00BB5D93" w:rsidRPr="00BB5D93">
              <w:t xml:space="preserve"> the Health and Human Services Commission</w:t>
            </w:r>
            <w:r w:rsidR="00BB5D93">
              <w:t xml:space="preserve"> </w:t>
            </w:r>
            <w:r>
              <w:t xml:space="preserve">in </w:t>
            </w:r>
            <w:r w:rsidRPr="0018095E">
              <w:t xml:space="preserve">SECTION </w:t>
            </w:r>
            <w:r>
              <w:t>3 of this bill.</w:t>
            </w:r>
          </w:p>
          <w:p w14:paraId="4B2DBB28" w14:textId="77777777" w:rsidR="008423E4" w:rsidRPr="00E21FDC" w:rsidRDefault="008423E4" w:rsidP="00FF41AD">
            <w:pPr>
              <w:rPr>
                <w:b/>
              </w:rPr>
            </w:pPr>
          </w:p>
        </w:tc>
      </w:tr>
      <w:tr w:rsidR="002C2C68" w14:paraId="457EAC0B" w14:textId="77777777" w:rsidTr="00345119">
        <w:tc>
          <w:tcPr>
            <w:tcW w:w="9576" w:type="dxa"/>
          </w:tcPr>
          <w:p w14:paraId="0B9B7D74" w14:textId="77777777" w:rsidR="008423E4" w:rsidRPr="00A8133F" w:rsidRDefault="00444D21" w:rsidP="00FF41A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289312" w14:textId="77777777" w:rsidR="008423E4" w:rsidRDefault="008423E4" w:rsidP="00FF41AD"/>
          <w:p w14:paraId="1BEA7AB9" w14:textId="69C087F6" w:rsidR="0018095E" w:rsidRDefault="00444D21" w:rsidP="00FF4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4571 amends the </w:t>
            </w:r>
            <w:r w:rsidRPr="0018095E">
              <w:t>Education Code</w:t>
            </w:r>
            <w:r>
              <w:t xml:space="preserve"> to require the </w:t>
            </w:r>
            <w:r w:rsidR="00BB5D93" w:rsidRPr="00BB5D93">
              <w:t>Texas Higher Education Coordinating Board (THECB)</w:t>
            </w:r>
            <w:r w:rsidR="00310F30">
              <w:t xml:space="preserve"> to establish and administer a hunger-free campus program to support </w:t>
            </w:r>
            <w:r w:rsidR="00310F30" w:rsidRPr="00310F30">
              <w:t xml:space="preserve">institutions of higher education in establishing essential and sustainable solutions to hunger at institution campuses in </w:t>
            </w:r>
            <w:r w:rsidR="00310F30">
              <w:t>Texas</w:t>
            </w:r>
            <w:r w:rsidR="00310F30" w:rsidRPr="00310F30">
              <w:t xml:space="preserve">. The </w:t>
            </w:r>
            <w:r w:rsidR="00310F30">
              <w:t xml:space="preserve">bill requires the </w:t>
            </w:r>
            <w:r w:rsidR="00310F30" w:rsidRPr="00310F30">
              <w:t>solutions t</w:t>
            </w:r>
            <w:r w:rsidR="00310F30">
              <w:t>o</w:t>
            </w:r>
            <w:r w:rsidR="00310F30" w:rsidRPr="00310F30">
              <w:t xml:space="preserve"> include</w:t>
            </w:r>
            <w:r w:rsidR="00310F30">
              <w:t xml:space="preserve"> the following</w:t>
            </w:r>
            <w:r w:rsidR="00310F30" w:rsidRPr="00310F30">
              <w:t>:</w:t>
            </w:r>
          </w:p>
          <w:p w14:paraId="2EC3EABE" w14:textId="48308D5A" w:rsidR="00310F30" w:rsidRDefault="00444D21" w:rsidP="00FF41A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allowing students to donate meal credits from the student's meal plan to be distributed to peers who may be facing food insecurity;</w:t>
            </w:r>
          </w:p>
          <w:p w14:paraId="0A2E53C6" w14:textId="7F2D58F7" w:rsidR="00310F30" w:rsidRDefault="00444D21" w:rsidP="00FF41A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establishing food pantries on campus; and</w:t>
            </w:r>
          </w:p>
          <w:p w14:paraId="46B4C68F" w14:textId="29E97FCB" w:rsidR="00310F30" w:rsidRDefault="00444D21" w:rsidP="00FF41A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developing, in co</w:t>
            </w:r>
            <w:r>
              <w:t>llaboration with the Health and Human Services Commission (HHSC), capacity-building strategies for increasing student enrollment in SNAP.</w:t>
            </w:r>
          </w:p>
          <w:p w14:paraId="568EBC62" w14:textId="0F23CC22" w:rsidR="008423E4" w:rsidRDefault="00444D21" w:rsidP="00FF41AD">
            <w:pPr>
              <w:pStyle w:val="Header"/>
              <w:jc w:val="both"/>
            </w:pPr>
            <w:r>
              <w:t>The bill requires the THECB to establish criteria under which the THECB may designate a</w:t>
            </w:r>
            <w:r w:rsidR="00576069">
              <w:t>n</w:t>
            </w:r>
            <w:r>
              <w:t xml:space="preserve"> </w:t>
            </w:r>
            <w:r w:rsidR="00576069">
              <w:t xml:space="preserve">institution </w:t>
            </w:r>
            <w:r>
              <w:t xml:space="preserve">campus as a </w:t>
            </w:r>
            <w:r w:rsidR="00576069">
              <w:t>h</w:t>
            </w:r>
            <w:r>
              <w:t>unge</w:t>
            </w:r>
            <w:r>
              <w:t>r-</w:t>
            </w:r>
            <w:r w:rsidR="00576069">
              <w:t>f</w:t>
            </w:r>
            <w:r>
              <w:t xml:space="preserve">ree </w:t>
            </w:r>
            <w:r w:rsidR="00576069">
              <w:t>c</w:t>
            </w:r>
            <w:r>
              <w:t xml:space="preserve">ampus if the campus applies and meets the qualifications. The bill authorizes the THECB to establish a task force to develop best practices guidelines for addressing student hunger on </w:t>
            </w:r>
            <w:r w:rsidR="00576069">
              <w:t>institution</w:t>
            </w:r>
            <w:r>
              <w:t xml:space="preserve"> campuses, including methods for implementing the sol</w:t>
            </w:r>
            <w:r>
              <w:t>utions to hunger.</w:t>
            </w:r>
          </w:p>
          <w:p w14:paraId="2D1725D9" w14:textId="77777777" w:rsidR="00363C99" w:rsidRDefault="00363C99" w:rsidP="00FF41AD">
            <w:pPr>
              <w:pStyle w:val="Header"/>
              <w:jc w:val="both"/>
            </w:pPr>
          </w:p>
          <w:p w14:paraId="5A91CAC3" w14:textId="637ACC55" w:rsidR="000366C4" w:rsidRDefault="00444D21" w:rsidP="00FF41AD">
            <w:pPr>
              <w:pStyle w:val="Header"/>
              <w:jc w:val="both"/>
            </w:pPr>
            <w:r>
              <w:t xml:space="preserve">H.B. 4571 requires a food vendor contract between a </w:t>
            </w:r>
            <w:r w:rsidRPr="0018095E">
              <w:t>public institution of higher education</w:t>
            </w:r>
            <w:r>
              <w:t xml:space="preserve"> and a person </w:t>
            </w:r>
            <w:r w:rsidRPr="0018095E">
              <w:t>to sell or otherwise provide food on the institution's campus</w:t>
            </w:r>
            <w:r>
              <w:t xml:space="preserve"> to require the person, if eligible, to seek authorization to become a r</w:t>
            </w:r>
            <w:r>
              <w:t xml:space="preserve">etailer and accept SNAP benefits. This requirement applies </w:t>
            </w:r>
            <w:r w:rsidRPr="009C0590">
              <w:t xml:space="preserve">only to a contract entered into on or after the </w:t>
            </w:r>
            <w:r>
              <w:t xml:space="preserve">bill's </w:t>
            </w:r>
            <w:r w:rsidRPr="009C0590">
              <w:t>effective date</w:t>
            </w:r>
            <w:r>
              <w:t>.</w:t>
            </w:r>
          </w:p>
          <w:p w14:paraId="4F43A8F5" w14:textId="77777777" w:rsidR="00363C99" w:rsidRDefault="00363C99" w:rsidP="00FF41AD">
            <w:pPr>
              <w:pStyle w:val="Header"/>
              <w:jc w:val="both"/>
            </w:pPr>
          </w:p>
          <w:p w14:paraId="2E61559D" w14:textId="0C5A2E0A" w:rsidR="000366C4" w:rsidRDefault="00444D21" w:rsidP="00FF41AD">
            <w:pPr>
              <w:pStyle w:val="Header"/>
              <w:jc w:val="both"/>
            </w:pPr>
            <w:r>
              <w:t xml:space="preserve">H.B. 4571 amends the Human Resources Code to require HHSC, as authorized under federal law, to provide </w:t>
            </w:r>
            <w:r w:rsidRPr="000366C4">
              <w:t>an exemption from work</w:t>
            </w:r>
            <w:r w:rsidRPr="000366C4">
              <w:t xml:space="preserve"> requirements to provide </w:t>
            </w:r>
            <w:r>
              <w:t>SNAP</w:t>
            </w:r>
            <w:r w:rsidRPr="000366C4">
              <w:t xml:space="preserve"> benefits to an individual who is</w:t>
            </w:r>
            <w:r>
              <w:t xml:space="preserve"> </w:t>
            </w:r>
            <w:r w:rsidRPr="000366C4">
              <w:t xml:space="preserve">ineligible to receive </w:t>
            </w:r>
            <w:r>
              <w:t>SNAP</w:t>
            </w:r>
            <w:r w:rsidRPr="000366C4">
              <w:t xml:space="preserve"> benefits based solely on the </w:t>
            </w:r>
            <w:r w:rsidR="004D4F78">
              <w:t xml:space="preserve">applicable </w:t>
            </w:r>
            <w:r w:rsidRPr="000366C4">
              <w:t>work requirements and</w:t>
            </w:r>
            <w:r>
              <w:t xml:space="preserve"> </w:t>
            </w:r>
            <w:r w:rsidR="004D4F78">
              <w:t xml:space="preserve">who is </w:t>
            </w:r>
            <w:r w:rsidRPr="000366C4">
              <w:t xml:space="preserve">enrolled as a student in a </w:t>
            </w:r>
            <w:r w:rsidR="009C0590">
              <w:t>public, private</w:t>
            </w:r>
            <w:r w:rsidR="00BD775F">
              <w:t>,</w:t>
            </w:r>
            <w:r w:rsidR="009C0590">
              <w:t xml:space="preserve"> or independent institution of higher education or a career school or college</w:t>
            </w:r>
            <w:r w:rsidRPr="000366C4">
              <w:t>.</w:t>
            </w:r>
            <w:r w:rsidR="009C0590">
              <w:t xml:space="preserve"> The bill requires the executive commissioner of HHSC, n</w:t>
            </w:r>
            <w:r w:rsidR="009C0590" w:rsidRPr="009C0590">
              <w:t>ot later than December 31, 2024</w:t>
            </w:r>
            <w:r w:rsidR="009C0590">
              <w:t xml:space="preserve">, to adopt rules to implement the exemption, including rules that ensure a student remains eligible for SNAP benefits </w:t>
            </w:r>
            <w:r w:rsidR="009C0590" w:rsidRPr="009C0590">
              <w:t>during a break in the semester or academic term of the postsecondary educational institution in which the student is enrolled.</w:t>
            </w:r>
            <w:r w:rsidR="009C0590">
              <w:t xml:space="preserve"> </w:t>
            </w:r>
            <w:r w:rsidR="0073515D">
              <w:t xml:space="preserve">These provisions apply only to an initial determination or recertification of </w:t>
            </w:r>
            <w:r w:rsidR="0031178E">
              <w:t xml:space="preserve">SNAP </w:t>
            </w:r>
            <w:r w:rsidR="0073515D">
              <w:t>eligibility that is made</w:t>
            </w:r>
            <w:r w:rsidR="00BD775F">
              <w:t xml:space="preserve"> on</w:t>
            </w:r>
            <w:r w:rsidR="0073515D">
              <w:t xml:space="preserve"> </w:t>
            </w:r>
            <w:r w:rsidR="0073515D" w:rsidRPr="0073515D">
              <w:t xml:space="preserve">or after the </w:t>
            </w:r>
            <w:r w:rsidR="0073515D">
              <w:t xml:space="preserve">bill's </w:t>
            </w:r>
            <w:r w:rsidR="0073515D" w:rsidRPr="0073515D">
              <w:t>effective date</w:t>
            </w:r>
            <w:r w:rsidR="0073515D">
              <w:t>.</w:t>
            </w:r>
          </w:p>
          <w:p w14:paraId="0C6ACBF7" w14:textId="77777777" w:rsidR="0073515D" w:rsidRDefault="0073515D" w:rsidP="00FF41AD">
            <w:pPr>
              <w:pStyle w:val="Header"/>
              <w:jc w:val="both"/>
            </w:pPr>
          </w:p>
          <w:p w14:paraId="299F1031" w14:textId="75FBA6FC" w:rsidR="00310F30" w:rsidRDefault="00444D21" w:rsidP="00FF41AD">
            <w:pPr>
              <w:pStyle w:val="Header"/>
              <w:jc w:val="both"/>
              <w:rPr>
                <w:bCs/>
              </w:rPr>
            </w:pPr>
            <w:r w:rsidRPr="0073515D">
              <w:rPr>
                <w:bCs/>
              </w:rPr>
              <w:t>H.B.</w:t>
            </w:r>
            <w:r>
              <w:rPr>
                <w:bCs/>
              </w:rPr>
              <w:t xml:space="preserve"> 4571</w:t>
            </w:r>
            <w:r w:rsidRPr="0073515D">
              <w:rPr>
                <w:bCs/>
              </w:rPr>
              <w:t xml:space="preserve"> provides for the delayed implementation</w:t>
            </w:r>
            <w:r w:rsidRPr="0073515D">
              <w:rPr>
                <w:bCs/>
              </w:rPr>
              <w:t xml:space="preserve"> of any provision for which an applicable state agency determines a federal waiver or authorization is necessary for implementation until the waiver or authorization is requested and granted.</w:t>
            </w:r>
          </w:p>
          <w:p w14:paraId="61138914" w14:textId="3CDDF223" w:rsidR="00310F30" w:rsidRPr="00835628" w:rsidRDefault="00310F30" w:rsidP="00FF41AD">
            <w:pPr>
              <w:pStyle w:val="Header"/>
              <w:jc w:val="both"/>
              <w:rPr>
                <w:b/>
              </w:rPr>
            </w:pPr>
          </w:p>
        </w:tc>
      </w:tr>
      <w:tr w:rsidR="002C2C68" w14:paraId="1B5C8458" w14:textId="77777777" w:rsidTr="00345119">
        <w:tc>
          <w:tcPr>
            <w:tcW w:w="9576" w:type="dxa"/>
          </w:tcPr>
          <w:p w14:paraId="279AEB6D" w14:textId="77777777" w:rsidR="008423E4" w:rsidRPr="00A8133F" w:rsidRDefault="00444D21" w:rsidP="00FF41A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468EBC" w14:textId="77777777" w:rsidR="008423E4" w:rsidRDefault="008423E4" w:rsidP="00FF41AD"/>
          <w:p w14:paraId="16DEAFD8" w14:textId="09F3C90C" w:rsidR="008423E4" w:rsidRPr="003624F2" w:rsidRDefault="00444D21" w:rsidP="00FF41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80CBA85" w14:textId="77777777" w:rsidR="008423E4" w:rsidRPr="00233FDB" w:rsidRDefault="008423E4" w:rsidP="00FF41AD">
            <w:pPr>
              <w:rPr>
                <w:b/>
              </w:rPr>
            </w:pPr>
          </w:p>
        </w:tc>
      </w:tr>
    </w:tbl>
    <w:p w14:paraId="474DD98B" w14:textId="77777777" w:rsidR="008423E4" w:rsidRPr="00BE0E75" w:rsidRDefault="008423E4" w:rsidP="00FF41AD">
      <w:pPr>
        <w:jc w:val="both"/>
        <w:rPr>
          <w:rFonts w:ascii="Arial" w:hAnsi="Arial"/>
          <w:sz w:val="16"/>
          <w:szCs w:val="16"/>
        </w:rPr>
      </w:pPr>
    </w:p>
    <w:p w14:paraId="109F7E78" w14:textId="77777777" w:rsidR="004108C3" w:rsidRPr="008423E4" w:rsidRDefault="004108C3" w:rsidP="00FF41A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3278" w14:textId="77777777" w:rsidR="00000000" w:rsidRDefault="00444D21">
      <w:r>
        <w:separator/>
      </w:r>
    </w:p>
  </w:endnote>
  <w:endnote w:type="continuationSeparator" w:id="0">
    <w:p w14:paraId="01116E52" w14:textId="77777777" w:rsidR="00000000" w:rsidRDefault="004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BF8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C2C68" w14:paraId="72E10261" w14:textId="77777777" w:rsidTr="009C1E9A">
      <w:trPr>
        <w:cantSplit/>
      </w:trPr>
      <w:tc>
        <w:tcPr>
          <w:tcW w:w="0" w:type="pct"/>
        </w:tcPr>
        <w:p w14:paraId="7496FA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0438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F7026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24D7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61BE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2C68" w14:paraId="061A9CE7" w14:textId="77777777" w:rsidTr="009C1E9A">
      <w:trPr>
        <w:cantSplit/>
      </w:trPr>
      <w:tc>
        <w:tcPr>
          <w:tcW w:w="0" w:type="pct"/>
        </w:tcPr>
        <w:p w14:paraId="3D2540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28FCC4" w14:textId="7F07D2AC" w:rsidR="00EC379B" w:rsidRPr="009C1E9A" w:rsidRDefault="00444D2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24339-D</w:t>
          </w:r>
        </w:p>
      </w:tc>
      <w:tc>
        <w:tcPr>
          <w:tcW w:w="2453" w:type="pct"/>
        </w:tcPr>
        <w:p w14:paraId="1475CBDD" w14:textId="223F89E8" w:rsidR="00EC379B" w:rsidRDefault="00444D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41AD">
            <w:t>23.108.2115</w:t>
          </w:r>
          <w:r>
            <w:fldChar w:fldCharType="end"/>
          </w:r>
        </w:p>
      </w:tc>
    </w:tr>
    <w:tr w:rsidR="002C2C68" w14:paraId="3E838460" w14:textId="77777777" w:rsidTr="009C1E9A">
      <w:trPr>
        <w:cantSplit/>
      </w:trPr>
      <w:tc>
        <w:tcPr>
          <w:tcW w:w="0" w:type="pct"/>
        </w:tcPr>
        <w:p w14:paraId="460205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9C2F4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0CE28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EB3C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2C68" w14:paraId="0A78C25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7A344F" w14:textId="77777777" w:rsidR="00EC379B" w:rsidRDefault="00444D2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35A7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C330E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11B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AAA3" w14:textId="77777777" w:rsidR="00000000" w:rsidRDefault="00444D21">
      <w:r>
        <w:separator/>
      </w:r>
    </w:p>
  </w:footnote>
  <w:footnote w:type="continuationSeparator" w:id="0">
    <w:p w14:paraId="6F5E899C" w14:textId="77777777" w:rsidR="00000000" w:rsidRDefault="0044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31B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7C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FDE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354C8"/>
    <w:multiLevelType w:val="hybridMultilevel"/>
    <w:tmpl w:val="A2B45184"/>
    <w:lvl w:ilvl="0" w:tplc="9D94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4E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A8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6B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0E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EE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C0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CA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5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6C4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296"/>
    <w:rsid w:val="00073914"/>
    <w:rsid w:val="00074236"/>
    <w:rsid w:val="000746BD"/>
    <w:rsid w:val="00076D7D"/>
    <w:rsid w:val="00080D95"/>
    <w:rsid w:val="00090E6B"/>
    <w:rsid w:val="000910E1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95E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0D0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0EC"/>
    <w:rsid w:val="002B7BA7"/>
    <w:rsid w:val="002C1C17"/>
    <w:rsid w:val="002C2C68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F30"/>
    <w:rsid w:val="0031178E"/>
    <w:rsid w:val="00313DFE"/>
    <w:rsid w:val="003143B2"/>
    <w:rsid w:val="003143E8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3C99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449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D21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F78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215"/>
    <w:rsid w:val="004F32AD"/>
    <w:rsid w:val="004F4BE0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8FF"/>
    <w:rsid w:val="00561528"/>
    <w:rsid w:val="0056153F"/>
    <w:rsid w:val="00561B14"/>
    <w:rsid w:val="00562C87"/>
    <w:rsid w:val="005636BD"/>
    <w:rsid w:val="005666D5"/>
    <w:rsid w:val="005669A7"/>
    <w:rsid w:val="00573401"/>
    <w:rsid w:val="00576069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15D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EA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6AA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A1A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6EC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515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90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38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E57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A94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5D93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75F"/>
    <w:rsid w:val="00BE00CD"/>
    <w:rsid w:val="00BE0D3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5CC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544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4AD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BF1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6EDD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D87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6F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726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4C5"/>
    <w:rsid w:val="00F7758F"/>
    <w:rsid w:val="00F82811"/>
    <w:rsid w:val="00F84153"/>
    <w:rsid w:val="00F85661"/>
    <w:rsid w:val="00F90F57"/>
    <w:rsid w:val="00F96602"/>
    <w:rsid w:val="00F9735A"/>
    <w:rsid w:val="00FA32FC"/>
    <w:rsid w:val="00FA59FD"/>
    <w:rsid w:val="00FA5D8C"/>
    <w:rsid w:val="00FA6403"/>
    <w:rsid w:val="00FB16CD"/>
    <w:rsid w:val="00FB73AE"/>
    <w:rsid w:val="00FC3A16"/>
    <w:rsid w:val="00FC5388"/>
    <w:rsid w:val="00FC6ACB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1AD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43E4B3-A3F9-4159-A9F7-76A9FC44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9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0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09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95E"/>
    <w:rPr>
      <w:b/>
      <w:bCs/>
    </w:rPr>
  </w:style>
  <w:style w:type="paragraph" w:styleId="Revision">
    <w:name w:val="Revision"/>
    <w:hidden/>
    <w:uiPriority w:val="99"/>
    <w:semiHidden/>
    <w:rsid w:val="00576069"/>
    <w:rPr>
      <w:sz w:val="24"/>
      <w:szCs w:val="24"/>
    </w:rPr>
  </w:style>
  <w:style w:type="character" w:styleId="Hyperlink">
    <w:name w:val="Hyperlink"/>
    <w:basedOn w:val="DefaultParagraphFont"/>
    <w:unhideWhenUsed/>
    <w:rsid w:val="00A57E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3995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HB04571 (Committee Report (Unamended))</vt:lpstr>
    </vt:vector>
  </TitlesOfParts>
  <Company>State of Texas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24339</dc:subject>
  <dc:creator>State of Texas</dc:creator>
  <dc:description>HB 4571 by Bucy-(H)Higher Education</dc:description>
  <cp:lastModifiedBy>Stacey Nicchio</cp:lastModifiedBy>
  <cp:revision>2</cp:revision>
  <cp:lastPrinted>2003-11-26T17:21:00Z</cp:lastPrinted>
  <dcterms:created xsi:type="dcterms:W3CDTF">2023-04-20T17:56:00Z</dcterms:created>
  <dcterms:modified xsi:type="dcterms:W3CDTF">2023-04-20T17:56:00Z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23.108.2115</vt:lpwstr>
  </property>
</Properties>
</file>