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9210C" w14:paraId="57EB3143" w14:textId="77777777" w:rsidTr="00345119">
        <w:tc>
          <w:tcPr>
            <w:tcW w:w="9576" w:type="dxa"/>
            <w:noWrap/>
          </w:tcPr>
          <w:p w14:paraId="07EE316F" w14:textId="77777777" w:rsidR="008423E4" w:rsidRPr="0022177D" w:rsidRDefault="003B64C8" w:rsidP="00B27BDD">
            <w:pPr>
              <w:pStyle w:val="Heading1"/>
            </w:pPr>
            <w:r w:rsidRPr="00631897">
              <w:t>BILL ANALYSIS</w:t>
            </w:r>
          </w:p>
        </w:tc>
      </w:tr>
    </w:tbl>
    <w:p w14:paraId="74CDAB2F" w14:textId="77777777" w:rsidR="008423E4" w:rsidRPr="0022177D" w:rsidRDefault="008423E4" w:rsidP="00B27BDD">
      <w:pPr>
        <w:jc w:val="center"/>
      </w:pPr>
    </w:p>
    <w:p w14:paraId="112D0DBB" w14:textId="77777777" w:rsidR="008423E4" w:rsidRPr="00B31F0E" w:rsidRDefault="008423E4" w:rsidP="00B27BDD"/>
    <w:p w14:paraId="087488E4" w14:textId="77777777" w:rsidR="008423E4" w:rsidRPr="00742794" w:rsidRDefault="008423E4" w:rsidP="00B27BD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210C" w14:paraId="1594FD84" w14:textId="77777777" w:rsidTr="00345119">
        <w:tc>
          <w:tcPr>
            <w:tcW w:w="9576" w:type="dxa"/>
          </w:tcPr>
          <w:p w14:paraId="79B45104" w14:textId="193177B1" w:rsidR="008423E4" w:rsidRPr="00861995" w:rsidRDefault="003B64C8" w:rsidP="00B27BDD">
            <w:pPr>
              <w:jc w:val="right"/>
            </w:pPr>
            <w:r>
              <w:t xml:space="preserve">C.S.H.B. </w:t>
            </w:r>
            <w:r w:rsidR="00AD7C52">
              <w:t>4641</w:t>
            </w:r>
          </w:p>
        </w:tc>
      </w:tr>
      <w:tr w:rsidR="0079210C" w14:paraId="7F8D37FC" w14:textId="77777777" w:rsidTr="00345119">
        <w:tc>
          <w:tcPr>
            <w:tcW w:w="9576" w:type="dxa"/>
          </w:tcPr>
          <w:p w14:paraId="0FCE7C8F" w14:textId="5C283A67" w:rsidR="008423E4" w:rsidRPr="00861995" w:rsidRDefault="003B64C8" w:rsidP="00B27BDD">
            <w:pPr>
              <w:jc w:val="right"/>
            </w:pPr>
            <w:r>
              <w:t xml:space="preserve">By: </w:t>
            </w:r>
            <w:r w:rsidR="00AD7C52">
              <w:t>Meyer</w:t>
            </w:r>
          </w:p>
        </w:tc>
      </w:tr>
      <w:tr w:rsidR="0079210C" w14:paraId="7852031C" w14:textId="77777777" w:rsidTr="00345119">
        <w:tc>
          <w:tcPr>
            <w:tcW w:w="9576" w:type="dxa"/>
          </w:tcPr>
          <w:p w14:paraId="67A9CE08" w14:textId="10AED949" w:rsidR="008423E4" w:rsidRPr="00861995" w:rsidRDefault="003B64C8" w:rsidP="00B27BDD">
            <w:pPr>
              <w:jc w:val="right"/>
            </w:pPr>
            <w:r>
              <w:t>Pensions, Investments &amp; Financial Services</w:t>
            </w:r>
          </w:p>
        </w:tc>
      </w:tr>
      <w:tr w:rsidR="0079210C" w14:paraId="40DA48C1" w14:textId="77777777" w:rsidTr="00345119">
        <w:tc>
          <w:tcPr>
            <w:tcW w:w="9576" w:type="dxa"/>
          </w:tcPr>
          <w:p w14:paraId="7D4E5330" w14:textId="3519DD28" w:rsidR="008423E4" w:rsidRDefault="003B64C8" w:rsidP="00B27BDD">
            <w:pPr>
              <w:jc w:val="right"/>
            </w:pPr>
            <w:r>
              <w:t>Committee Report (Substituted)</w:t>
            </w:r>
          </w:p>
        </w:tc>
      </w:tr>
    </w:tbl>
    <w:p w14:paraId="1125F8BF" w14:textId="77777777" w:rsidR="008423E4" w:rsidRDefault="008423E4" w:rsidP="00B27BDD">
      <w:pPr>
        <w:tabs>
          <w:tab w:val="right" w:pos="9360"/>
        </w:tabs>
      </w:pPr>
    </w:p>
    <w:p w14:paraId="78C468B0" w14:textId="77777777" w:rsidR="008423E4" w:rsidRDefault="008423E4" w:rsidP="00B27BDD"/>
    <w:p w14:paraId="21F115B6" w14:textId="77777777" w:rsidR="008423E4" w:rsidRDefault="008423E4" w:rsidP="00B27BD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9210C" w14:paraId="43ED1ADE" w14:textId="77777777" w:rsidTr="00634220">
        <w:tc>
          <w:tcPr>
            <w:tcW w:w="9360" w:type="dxa"/>
          </w:tcPr>
          <w:p w14:paraId="38DA9EA4" w14:textId="77777777" w:rsidR="008423E4" w:rsidRPr="00A8133F" w:rsidRDefault="003B64C8" w:rsidP="00B27BD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04C3E8" w14:textId="77777777" w:rsidR="008423E4" w:rsidRDefault="008423E4" w:rsidP="00B27BDD"/>
          <w:p w14:paraId="6FDC7C50" w14:textId="7D28460B" w:rsidR="008423E4" w:rsidRDefault="003B64C8" w:rsidP="00B27BDD">
            <w:pPr>
              <w:pStyle w:val="Header"/>
              <w:jc w:val="both"/>
            </w:pPr>
            <w:r w:rsidRPr="009F3A2B">
              <w:t xml:space="preserve">Coerced debt is a type of identity theft in which an abuser incurs credit-related transactions using the identity of a victim without their consent. It is an increasingly common form of economic abuse in </w:t>
            </w:r>
            <w:r w:rsidR="005B23FC">
              <w:t xml:space="preserve">cases of </w:t>
            </w:r>
            <w:r w:rsidRPr="009F3A2B">
              <w:t>family violence</w:t>
            </w:r>
            <w:r w:rsidR="005B23FC">
              <w:t xml:space="preserve"> </w:t>
            </w:r>
            <w:r w:rsidRPr="009F3A2B">
              <w:t>that can substantially limi</w:t>
            </w:r>
            <w:r w:rsidRPr="009F3A2B">
              <w:t xml:space="preserve">t </w:t>
            </w:r>
            <w:r w:rsidR="005B23FC">
              <w:t>a victim's</w:t>
            </w:r>
            <w:r w:rsidR="005B23FC" w:rsidRPr="009F3A2B">
              <w:t xml:space="preserve"> </w:t>
            </w:r>
            <w:r w:rsidRPr="009F3A2B">
              <w:t xml:space="preserve">economic self-sufficiency or prevent them from leaving an abusive relationship. Even if a victim manages to escape from an abusive situation, the coerced debt </w:t>
            </w:r>
            <w:r w:rsidR="005B23FC">
              <w:t>follows</w:t>
            </w:r>
            <w:r w:rsidR="003F7C4C">
              <w:t>,</w:t>
            </w:r>
            <w:r w:rsidR="005B23FC">
              <w:t xml:space="preserve"> </w:t>
            </w:r>
            <w:r w:rsidRPr="009F3A2B">
              <w:t>negatively impacting their finances. Missing a debt payment, for example, m</w:t>
            </w:r>
            <w:r w:rsidRPr="009F3A2B">
              <w:t>ay lower a person's credit score by more than 100 points. These credit scores consequently affect a victim's ability to secure employment, housing, and insurance.</w:t>
            </w:r>
            <w:r>
              <w:t xml:space="preserve"> </w:t>
            </w:r>
            <w:r w:rsidRPr="009F3A2B">
              <w:t>In 2021</w:t>
            </w:r>
            <w:r w:rsidR="0094692A">
              <w:t>,</w:t>
            </w:r>
            <w:r w:rsidRPr="009F3A2B">
              <w:t xml:space="preserve"> the </w:t>
            </w:r>
            <w:r w:rsidR="0094692A">
              <w:t xml:space="preserve">87th </w:t>
            </w:r>
            <w:r w:rsidRPr="009F3A2B">
              <w:t>Legislature</w:t>
            </w:r>
            <w:r w:rsidR="0094692A">
              <w:t>, Regular Session,</w:t>
            </w:r>
            <w:r w:rsidRPr="009F3A2B">
              <w:t xml:space="preserve"> passed H</w:t>
            </w:r>
            <w:r w:rsidR="0094692A">
              <w:t>.</w:t>
            </w:r>
            <w:r w:rsidRPr="009F3A2B">
              <w:t>B</w:t>
            </w:r>
            <w:r w:rsidR="0094692A">
              <w:t>.</w:t>
            </w:r>
            <w:r w:rsidRPr="009F3A2B">
              <w:t xml:space="preserve"> 3529, which </w:t>
            </w:r>
            <w:r w:rsidR="0094692A">
              <w:t xml:space="preserve">provided for victims to take legal action against the effects of debt incurred involuntarily by </w:t>
            </w:r>
            <w:r w:rsidR="00702B30">
              <w:t>abusers</w:t>
            </w:r>
            <w:r w:rsidR="0094692A">
              <w:t xml:space="preserve"> by </w:t>
            </w:r>
            <w:r w:rsidRPr="009F3A2B">
              <w:t>emphasiz</w:t>
            </w:r>
            <w:r w:rsidR="0094692A">
              <w:t>ing</w:t>
            </w:r>
            <w:r w:rsidRPr="009F3A2B">
              <w:t xml:space="preserve"> that coerced debt is a form of identity theft</w:t>
            </w:r>
            <w:r w:rsidR="0094692A">
              <w:t>.</w:t>
            </w:r>
            <w:r w:rsidRPr="009F3A2B">
              <w:t xml:space="preserve"> This process, however, is complex and cost-prohibitive, especially for victims of domestic violence, victims of</w:t>
            </w:r>
            <w:r w:rsidRPr="009F3A2B">
              <w:t xml:space="preserve"> human trafficking, and </w:t>
            </w:r>
            <w:r w:rsidR="0094692A">
              <w:t>disabled</w:t>
            </w:r>
            <w:r w:rsidR="0094692A" w:rsidRPr="009F3A2B">
              <w:t xml:space="preserve"> </w:t>
            </w:r>
            <w:r w:rsidRPr="009F3A2B">
              <w:t>adults without the means to hire an attorney.</w:t>
            </w:r>
            <w:r w:rsidR="0094692A">
              <w:t xml:space="preserve"> C.S.</w:t>
            </w:r>
            <w:r>
              <w:t>H</w:t>
            </w:r>
            <w:r w:rsidR="0094692A">
              <w:t>.</w:t>
            </w:r>
            <w:r>
              <w:t>B</w:t>
            </w:r>
            <w:r w:rsidR="0094692A">
              <w:t>.</w:t>
            </w:r>
            <w:r>
              <w:t xml:space="preserve"> 4641 </w:t>
            </w:r>
            <w:r w:rsidR="0094692A">
              <w:t>seeks to address this issue by providing for</w:t>
            </w:r>
            <w:r w:rsidR="00702B30">
              <w:t xml:space="preserve"> enhanced</w:t>
            </w:r>
            <w:r>
              <w:t xml:space="preserve"> access to identity theft protections </w:t>
            </w:r>
            <w:r w:rsidR="00702B30">
              <w:t xml:space="preserve">for certain victims of coerced debt and identify theft. </w:t>
            </w:r>
          </w:p>
          <w:p w14:paraId="7899EB84" w14:textId="77777777" w:rsidR="008423E4" w:rsidRPr="00E26B13" w:rsidRDefault="008423E4" w:rsidP="00B27BDD">
            <w:pPr>
              <w:rPr>
                <w:b/>
              </w:rPr>
            </w:pPr>
          </w:p>
        </w:tc>
      </w:tr>
      <w:tr w:rsidR="0079210C" w14:paraId="2F856388" w14:textId="77777777" w:rsidTr="00634220">
        <w:tc>
          <w:tcPr>
            <w:tcW w:w="9360" w:type="dxa"/>
          </w:tcPr>
          <w:p w14:paraId="7A2C907C" w14:textId="77777777" w:rsidR="0017725B" w:rsidRDefault="003B64C8" w:rsidP="00B27B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AFDD16" w14:textId="77777777" w:rsidR="0017725B" w:rsidRDefault="0017725B" w:rsidP="00B27BDD">
            <w:pPr>
              <w:rPr>
                <w:b/>
                <w:u w:val="single"/>
              </w:rPr>
            </w:pPr>
          </w:p>
          <w:p w14:paraId="5CDF3ED7" w14:textId="77777777" w:rsidR="0017725B" w:rsidRDefault="003B64C8" w:rsidP="00B27BD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</w:t>
            </w:r>
            <w:r>
              <w:t xml:space="preserve"> or change the eligibility of a person for community supervision, parole, or mandatory supervision.</w:t>
            </w:r>
          </w:p>
          <w:p w14:paraId="7CFA75C8" w14:textId="3473E32F" w:rsidR="00B27BDD" w:rsidRPr="0017725B" w:rsidRDefault="00B27BDD" w:rsidP="00B27BDD">
            <w:pPr>
              <w:jc w:val="both"/>
              <w:rPr>
                <w:b/>
                <w:u w:val="single"/>
              </w:rPr>
            </w:pPr>
          </w:p>
        </w:tc>
      </w:tr>
      <w:tr w:rsidR="0079210C" w14:paraId="508A4AED" w14:textId="77777777" w:rsidTr="00634220">
        <w:tc>
          <w:tcPr>
            <w:tcW w:w="9360" w:type="dxa"/>
          </w:tcPr>
          <w:p w14:paraId="2B482536" w14:textId="77777777" w:rsidR="008423E4" w:rsidRPr="00A8133F" w:rsidRDefault="003B64C8" w:rsidP="00B27BD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9C84311" w14:textId="77777777" w:rsidR="008423E4" w:rsidRDefault="008423E4" w:rsidP="00B27BDD"/>
          <w:p w14:paraId="2AECFC06" w14:textId="77777777" w:rsidR="008423E4" w:rsidRDefault="003B64C8" w:rsidP="00B27B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</w:t>
            </w:r>
            <w:r>
              <w:t>tment, agency, or institution.</w:t>
            </w:r>
          </w:p>
          <w:p w14:paraId="35E5EB8D" w14:textId="7B7AA3DB" w:rsidR="00B27BDD" w:rsidRPr="00E21FDC" w:rsidRDefault="00B27BDD" w:rsidP="00B27BD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9210C" w14:paraId="2DC44AB8" w14:textId="77777777" w:rsidTr="00634220">
        <w:tc>
          <w:tcPr>
            <w:tcW w:w="9360" w:type="dxa"/>
          </w:tcPr>
          <w:p w14:paraId="6469439B" w14:textId="77777777" w:rsidR="008423E4" w:rsidRPr="00A8133F" w:rsidRDefault="003B64C8" w:rsidP="00B27BD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538586" w14:textId="77777777" w:rsidR="008423E4" w:rsidRDefault="008423E4" w:rsidP="00B27BDD"/>
          <w:p w14:paraId="603634F4" w14:textId="60C5A16A" w:rsidR="009C36CD" w:rsidRDefault="003B64C8" w:rsidP="00B27B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8E2B6D">
              <w:t xml:space="preserve">4641 amends the Finance Code to prohibit a </w:t>
            </w:r>
            <w:r w:rsidR="008E2B6D" w:rsidRPr="008E2B6D">
              <w:t>creditor, debt collector, or third-party debt collector</w:t>
            </w:r>
            <w:r w:rsidR="008E2B6D">
              <w:t xml:space="preserve"> from attempting to collect </w:t>
            </w:r>
            <w:r w:rsidR="008E2B6D" w:rsidRPr="008E2B6D">
              <w:t>a consumer debt or a portion of a consumer debt if the consumer provides</w:t>
            </w:r>
            <w:r w:rsidR="008E2B6D">
              <w:t xml:space="preserve"> the following information:</w:t>
            </w:r>
          </w:p>
          <w:p w14:paraId="68841B11" w14:textId="6D2CF7C4" w:rsidR="008E2B6D" w:rsidRDefault="003B64C8" w:rsidP="00B27BD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E2B6D">
              <w:t xml:space="preserve">a criminal complaint alleging the </w:t>
            </w:r>
            <w:r w:rsidR="00D65B22">
              <w:t xml:space="preserve">consumer was a victim of the offense of identity theft </w:t>
            </w:r>
            <w:r w:rsidR="000C5D6D">
              <w:t xml:space="preserve">under </w:t>
            </w:r>
            <w:r w:rsidR="003608D3">
              <w:t>state law</w:t>
            </w:r>
            <w:r w:rsidR="000C5D6D">
              <w:t xml:space="preserve"> </w:t>
            </w:r>
            <w:r w:rsidRPr="008E2B6D">
              <w:t>or a substantially similar federal law or law in another state, accompanied by a statement identifying the consumer</w:t>
            </w:r>
            <w:r w:rsidRPr="008E2B6D">
              <w:t xml:space="preserve"> debt or the portion of consumer debt that resulted from the offense;</w:t>
            </w:r>
          </w:p>
          <w:p w14:paraId="727D27A0" w14:textId="041D337F" w:rsidR="008E2B6D" w:rsidRDefault="003B64C8" w:rsidP="00B27BD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56B57">
              <w:t xml:space="preserve">a court order issued </w:t>
            </w:r>
            <w:r>
              <w:t xml:space="preserve">under state law </w:t>
            </w:r>
            <w:r w:rsidRPr="00656B57">
              <w:t>or a substantially similar federal law or law in another state, declaring the consumer a victim of identity theft; or</w:t>
            </w:r>
          </w:p>
          <w:p w14:paraId="21DF4C0C" w14:textId="50A69F12" w:rsidR="00EB112E" w:rsidRDefault="003B64C8" w:rsidP="00B27BD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the consumer is a </w:t>
            </w:r>
            <w:r w:rsidR="00634220">
              <w:t>person with a disability</w:t>
            </w:r>
            <w:r>
              <w:t xml:space="preserve"> or a victim of </w:t>
            </w:r>
            <w:r w:rsidRPr="00656B57">
              <w:t>family violence</w:t>
            </w:r>
            <w:r>
              <w:t xml:space="preserve"> or of</w:t>
            </w:r>
            <w:r w:rsidR="00656B57" w:rsidRPr="00656B57">
              <w:t xml:space="preserve"> human trafficking, </w:t>
            </w:r>
            <w:r w:rsidRPr="00656B57">
              <w:t xml:space="preserve">an affidavit or unsworn declaration </w:t>
            </w:r>
            <w:r w:rsidR="00D3545F">
              <w:t>declaring</w:t>
            </w:r>
            <w:r w:rsidR="00D3545F" w:rsidRPr="00656B57">
              <w:t xml:space="preserve"> </w:t>
            </w:r>
            <w:r w:rsidRPr="00656B57">
              <w:t>the consumer a victim of</w:t>
            </w:r>
            <w:r>
              <w:t xml:space="preserve"> identity theft.</w:t>
            </w:r>
          </w:p>
          <w:p w14:paraId="61B2A684" w14:textId="66EDE9FE" w:rsidR="00E23342" w:rsidRDefault="00E23342" w:rsidP="00B27B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F6192D" w14:textId="344C3E98" w:rsidR="00656B57" w:rsidRDefault="003B64C8" w:rsidP="00B27B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EB112E">
              <w:t xml:space="preserve">4641 </w:t>
            </w:r>
            <w:r>
              <w:t xml:space="preserve">requires an affidavit </w:t>
            </w:r>
            <w:r w:rsidR="00E3605E">
              <w:t xml:space="preserve">or unsworn declaration </w:t>
            </w:r>
            <w:r w:rsidR="00E92802">
              <w:t xml:space="preserve">provided by </w:t>
            </w:r>
            <w:r>
              <w:t xml:space="preserve">a consumer </w:t>
            </w:r>
            <w:r w:rsidR="00E92802">
              <w:t xml:space="preserve">who is </w:t>
            </w:r>
            <w:r>
              <w:t xml:space="preserve">a </w:t>
            </w:r>
            <w:r>
              <w:t xml:space="preserve">person with a disability </w:t>
            </w:r>
            <w:r w:rsidR="00E92802">
              <w:t xml:space="preserve">or a </w:t>
            </w:r>
            <w:r w:rsidRPr="00656B57">
              <w:t xml:space="preserve">victim of family violence </w:t>
            </w:r>
            <w:r w:rsidR="00E92802">
              <w:t>or</w:t>
            </w:r>
            <w:r w:rsidRPr="00656B57">
              <w:t xml:space="preserve"> of human trafficking</w:t>
            </w:r>
            <w:r w:rsidR="00E92802">
              <w:t xml:space="preserve"> </w:t>
            </w:r>
            <w:r w:rsidR="00BB121D">
              <w:t>to include the following information:</w:t>
            </w:r>
          </w:p>
          <w:p w14:paraId="4B92E316" w14:textId="77777777" w:rsidR="00BB121D" w:rsidRDefault="003B64C8" w:rsidP="00B27BD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statement that the consumer is a victim of identity theft;</w:t>
            </w:r>
          </w:p>
          <w:p w14:paraId="2A09DE86" w14:textId="6C0A2123" w:rsidR="00656B57" w:rsidRDefault="003B64C8" w:rsidP="00B27BD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documentation verifying the consumer's identity,</w:t>
            </w:r>
            <w:r w:rsidR="00E3605E">
              <w:t xml:space="preserve"> which may</w:t>
            </w:r>
            <w:r>
              <w:t xml:space="preserve"> includ</w:t>
            </w:r>
            <w:r w:rsidR="00E3605E">
              <w:t>e</w:t>
            </w:r>
            <w:r>
              <w:t xml:space="preserve"> a copy of </w:t>
            </w:r>
            <w:r>
              <w:t>the consumer's passport or a copy of a driver's license or state identification card issued to the consumer by the Department of Public Safety;</w:t>
            </w:r>
          </w:p>
          <w:p w14:paraId="7E641C66" w14:textId="5BA62656" w:rsidR="00E3605E" w:rsidRDefault="003B64C8" w:rsidP="00B27BD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3605E">
              <w:t>a copy of a Federal Trade Commission identity theft victim's report, completed, signed, and filed by the consume</w:t>
            </w:r>
            <w:r w:rsidRPr="00E3605E">
              <w:t>r</w:t>
            </w:r>
            <w:r>
              <w:t xml:space="preserve"> that </w:t>
            </w:r>
            <w:r w:rsidR="00D3545F">
              <w:t>does the following</w:t>
            </w:r>
            <w:r>
              <w:t>:</w:t>
            </w:r>
          </w:p>
          <w:p w14:paraId="73FDCFA9" w14:textId="41B6D6BF" w:rsidR="00E3605E" w:rsidRDefault="003B64C8" w:rsidP="00B27BDD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3605E">
              <w:t>affirm</w:t>
            </w:r>
            <w:r w:rsidR="00D3545F">
              <w:t>s</w:t>
            </w:r>
            <w:r w:rsidRPr="00E3605E">
              <w:t xml:space="preserve"> that the consumer is a victim of identity theft; and</w:t>
            </w:r>
          </w:p>
          <w:p w14:paraId="7FEF8D06" w14:textId="1675C54F" w:rsidR="00E3605E" w:rsidRDefault="003B64C8" w:rsidP="00B27BDD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identif</w:t>
            </w:r>
            <w:r w:rsidR="00842150">
              <w:t>ies</w:t>
            </w:r>
            <w:r>
              <w:t xml:space="preserve"> the consumer debt or affected portion of the consumer debt incurred as a result of identity theft;</w:t>
            </w:r>
          </w:p>
          <w:p w14:paraId="783C1B76" w14:textId="0EEAED80" w:rsidR="00E3605E" w:rsidRDefault="003B64C8" w:rsidP="00B27BD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supporting </w:t>
            </w:r>
            <w:r w:rsidR="00BB121D">
              <w:t>documentation that the consumer is a victim of family violence</w:t>
            </w:r>
            <w:r>
              <w:t xml:space="preserve">, </w:t>
            </w:r>
            <w:r w:rsidR="00251D98">
              <w:t xml:space="preserve">if applicable, </w:t>
            </w:r>
            <w:r>
              <w:t>demonstrated by the following documentation:</w:t>
            </w:r>
          </w:p>
          <w:p w14:paraId="6EC862B0" w14:textId="4AA7DAD3" w:rsidR="00E3605E" w:rsidRDefault="003B64C8" w:rsidP="00B27BDD">
            <w:pPr>
              <w:pStyle w:val="Header"/>
              <w:numPr>
                <w:ilvl w:val="1"/>
                <w:numId w:val="2"/>
              </w:numPr>
              <w:jc w:val="both"/>
            </w:pPr>
            <w:r w:rsidRPr="00E3605E">
              <w:t xml:space="preserve">a copy of one or more of </w:t>
            </w:r>
            <w:r w:rsidR="00012A07">
              <w:t xml:space="preserve">specified </w:t>
            </w:r>
            <w:r w:rsidRPr="00E3605E">
              <w:t>order</w:t>
            </w:r>
            <w:r w:rsidR="00012A07">
              <w:t>s</w:t>
            </w:r>
            <w:r w:rsidRPr="00E3605E">
              <w:t xml:space="preserve"> protecting the tenant or an occupant from family violence</w:t>
            </w:r>
            <w:r>
              <w:t>; or</w:t>
            </w:r>
          </w:p>
          <w:p w14:paraId="48101748" w14:textId="0A1E27DA" w:rsidR="00C75A76" w:rsidRDefault="003B64C8" w:rsidP="00B27BD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a copy of documentation of the family violence against the tenant or an </w:t>
            </w:r>
            <w:r>
              <w:t>occupant from a</w:t>
            </w:r>
            <w:r w:rsidR="00E80C18">
              <w:t xml:space="preserve"> </w:t>
            </w:r>
            <w:r>
              <w:t xml:space="preserve">licensed health care services provider </w:t>
            </w:r>
            <w:r w:rsidR="00012A07">
              <w:t>or</w:t>
            </w:r>
            <w:r>
              <w:t xml:space="preserve"> licensed mental health services provider or an advocate</w:t>
            </w:r>
            <w:r w:rsidR="00E80C18">
              <w:t xml:space="preserve"> who examined or evaluated the victim, as applicable</w:t>
            </w:r>
            <w:r>
              <w:t>;</w:t>
            </w:r>
          </w:p>
          <w:p w14:paraId="388B804B" w14:textId="1977992E" w:rsidR="00C75A76" w:rsidRDefault="003B64C8" w:rsidP="00B27BD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supporting documentation that the consumer is a victim of human trafficking, if applicabl</w:t>
            </w:r>
            <w:r>
              <w:t>e, demonstrated by the following documentation:</w:t>
            </w:r>
          </w:p>
          <w:p w14:paraId="7D77DED9" w14:textId="77777777" w:rsidR="00C75A76" w:rsidRDefault="003B64C8" w:rsidP="00B27BD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a determination from a federal, state, or tribal governmental entity;</w:t>
            </w:r>
          </w:p>
          <w:p w14:paraId="7AAD27CF" w14:textId="71FD20E4" w:rsidR="00C75A76" w:rsidRDefault="003B64C8" w:rsidP="00B27BD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a determination from a nongovernmental organization authorized to make </w:t>
            </w:r>
            <w:r w:rsidR="00012A07">
              <w:t>that</w:t>
            </w:r>
            <w:r>
              <w:t xml:space="preserve"> determination</w:t>
            </w:r>
            <w:r w:rsidR="006D1567">
              <w:t>;</w:t>
            </w:r>
          </w:p>
          <w:p w14:paraId="53F9102D" w14:textId="386338B1" w:rsidR="00C75A76" w:rsidRDefault="003B64C8" w:rsidP="00B27BDD">
            <w:pPr>
              <w:pStyle w:val="Header"/>
              <w:numPr>
                <w:ilvl w:val="1"/>
                <w:numId w:val="2"/>
              </w:numPr>
              <w:jc w:val="both"/>
            </w:pPr>
            <w:r>
              <w:t>a determination from members of a human traffic</w:t>
            </w:r>
            <w:r>
              <w:t>king task force, including a victim service provider affiliated with a nongovernmental organization or task force that is authorized</w:t>
            </w:r>
            <w:r w:rsidR="00012A07">
              <w:t xml:space="preserve"> by a governmental entity</w:t>
            </w:r>
            <w:r>
              <w:t xml:space="preserve"> to make </w:t>
            </w:r>
            <w:r w:rsidR="00012A07">
              <w:t>that</w:t>
            </w:r>
            <w:r>
              <w:t xml:space="preserve"> determination</w:t>
            </w:r>
            <w:r w:rsidR="006D1567">
              <w:t>;</w:t>
            </w:r>
          </w:p>
          <w:p w14:paraId="693C4668" w14:textId="1B137A77" w:rsidR="00C75A76" w:rsidRDefault="003B64C8" w:rsidP="00B27BD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a determination from a court of competent jurisdiction in a case </w:t>
            </w:r>
            <w:r>
              <w:t>where the issue of whether the consumer is a victim of human trafficking is a central issue of the case; or</w:t>
            </w:r>
          </w:p>
          <w:p w14:paraId="7A96013E" w14:textId="554DE618" w:rsidR="00C75A76" w:rsidRDefault="003B64C8" w:rsidP="00B27BDD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a statement attesting that the consumer is a victim of human trafficking, signed or certified by the consumer and a person </w:t>
            </w:r>
            <w:r w:rsidR="005D39C0">
              <w:t>authorized to determine that the consumer is a victim of human trafficking</w:t>
            </w:r>
            <w:r>
              <w:t>; or</w:t>
            </w:r>
          </w:p>
          <w:p w14:paraId="19CA2AB5" w14:textId="112C0239" w:rsidR="00C75A76" w:rsidRDefault="003B64C8" w:rsidP="00B27BD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supporting documentation that the consumer is a person with a disability, if applicable.</w:t>
            </w:r>
          </w:p>
          <w:p w14:paraId="5FC5B125" w14:textId="77777777" w:rsidR="00634220" w:rsidRDefault="00634220" w:rsidP="00B27BDD">
            <w:pPr>
              <w:pStyle w:val="Header"/>
              <w:jc w:val="both"/>
            </w:pPr>
          </w:p>
          <w:p w14:paraId="4333A5AC" w14:textId="2F9F7987" w:rsidR="00530C81" w:rsidRPr="00145768" w:rsidRDefault="003B64C8" w:rsidP="00B27BDD">
            <w:pPr>
              <w:pStyle w:val="Header"/>
              <w:jc w:val="both"/>
            </w:pPr>
            <w:r>
              <w:t xml:space="preserve">C.S.H.B. </w:t>
            </w:r>
            <w:r w:rsidR="00EB112E">
              <w:t>4641</w:t>
            </w:r>
            <w:r w:rsidR="00DC12C8">
              <w:t xml:space="preserve"> requires a </w:t>
            </w:r>
            <w:r w:rsidR="00DC12C8" w:rsidRPr="00DC12C8">
              <w:t xml:space="preserve">creditor, debt collector, or third-party debt collector who receives </w:t>
            </w:r>
            <w:r w:rsidR="00E80C18">
              <w:t xml:space="preserve">such </w:t>
            </w:r>
            <w:r w:rsidR="00DC12C8" w:rsidRPr="00DC12C8">
              <w:t xml:space="preserve">notice </w:t>
            </w:r>
            <w:r w:rsidR="003608D3">
              <w:t xml:space="preserve">from a victim of identity theft </w:t>
            </w:r>
            <w:r w:rsidR="00DC12C8" w:rsidRPr="00DC12C8">
              <w:t xml:space="preserve">that a consumer debt is a result of </w:t>
            </w:r>
            <w:r w:rsidR="003608D3">
              <w:t xml:space="preserve">the </w:t>
            </w:r>
            <w:r w:rsidR="00DC12C8" w:rsidRPr="00DC12C8">
              <w:t xml:space="preserve">identity theft </w:t>
            </w:r>
            <w:r w:rsidR="00270559" w:rsidRPr="00270559">
              <w:t>to</w:t>
            </w:r>
            <w:r w:rsidR="00E80C18">
              <w:t xml:space="preserve"> immediately</w:t>
            </w:r>
            <w:r w:rsidR="00270559" w:rsidRPr="00270559">
              <w:t xml:space="preserve"> </w:t>
            </w:r>
            <w:r w:rsidR="003B233E">
              <w:t xml:space="preserve">cease efforts to </w:t>
            </w:r>
            <w:r w:rsidR="00270559" w:rsidRPr="00270559">
              <w:t xml:space="preserve">collect the disputed debt or disputed portion of the debt from the victim of identity theft </w:t>
            </w:r>
            <w:r w:rsidR="00DC12C8">
              <w:t>and send to each person who has previously received a report relating to that debt</w:t>
            </w:r>
            <w:r w:rsidR="005E7336">
              <w:t xml:space="preserve"> from the creditor</w:t>
            </w:r>
            <w:r w:rsidR="00DC12C8">
              <w:t xml:space="preserve"> that the debt is</w:t>
            </w:r>
            <w:r w:rsidR="005E7336">
              <w:t xml:space="preserve"> disputed under the bill's provisions and</w:t>
            </w:r>
            <w:r w:rsidR="00DC12C8">
              <w:t xml:space="preserve"> not collectable</w:t>
            </w:r>
            <w:r w:rsidR="00270559">
              <w:t xml:space="preserve"> </w:t>
            </w:r>
            <w:r w:rsidR="00270559" w:rsidRPr="00270559">
              <w:t>from the victim of identity theft</w:t>
            </w:r>
            <w:r w:rsidR="00DC12C8">
              <w:t xml:space="preserve">. The bill prohibits a </w:t>
            </w:r>
            <w:r w:rsidR="00DC12C8" w:rsidRPr="00DC12C8">
              <w:t>creditor, debt collector, or third-party debt collector</w:t>
            </w:r>
            <w:r w:rsidR="00DC12C8">
              <w:t xml:space="preserve"> from selling the debt or transferring it for consideration</w:t>
            </w:r>
            <w:r w:rsidR="00365FE2" w:rsidRPr="00365FE2">
              <w:t>, except to collect the debt from a responsible person other than the victim of identity theft</w:t>
            </w:r>
            <w:r w:rsidR="00DC12C8">
              <w:t>.</w:t>
            </w:r>
            <w:r w:rsidR="00440F65">
              <w:t xml:space="preserve"> The bill authorizes a </w:t>
            </w:r>
            <w:r w:rsidR="00440F65" w:rsidRPr="00DC12C8">
              <w:t>creditor, debt collector, or third-party debt collector</w:t>
            </w:r>
            <w:r w:rsidR="00365FE2">
              <w:t xml:space="preserve">, </w:t>
            </w:r>
            <w:r w:rsidR="00365FE2" w:rsidRPr="00365FE2">
              <w:t>if the disputed debt or disputed portion of the debt is secured by tangible personal property,</w:t>
            </w:r>
            <w:r w:rsidR="00365FE2">
              <w:t xml:space="preserve"> to</w:t>
            </w:r>
            <w:r w:rsidR="00365FE2" w:rsidRPr="00365FE2">
              <w:t xml:space="preserve"> enforce the security interest</w:t>
            </w:r>
            <w:r>
              <w:t xml:space="preserve"> but </w:t>
            </w:r>
            <w:r w:rsidR="00E80C18">
              <w:t>prohibits the creditor, debt collector, or third-party debt collector from</w:t>
            </w:r>
            <w:r>
              <w:t xml:space="preserve"> </w:t>
            </w:r>
            <w:r w:rsidRPr="00530C81">
              <w:t>collect</w:t>
            </w:r>
            <w:r w:rsidR="00E80C18">
              <w:t xml:space="preserve">ing </w:t>
            </w:r>
            <w:r w:rsidRPr="00530C81">
              <w:t>or seek</w:t>
            </w:r>
            <w:r w:rsidR="00E80C18">
              <w:t>ing</w:t>
            </w:r>
            <w:r w:rsidRPr="00530C81">
              <w:t xml:space="preserve"> to collect any deficiency from the victim of identity theft.</w:t>
            </w:r>
            <w:r>
              <w:t xml:space="preserve"> </w:t>
            </w:r>
          </w:p>
          <w:p w14:paraId="27A9B657" w14:textId="77777777" w:rsidR="00740473" w:rsidRDefault="00740473" w:rsidP="00B27BDD">
            <w:pPr>
              <w:pStyle w:val="Header"/>
              <w:jc w:val="both"/>
              <w:rPr>
                <w:bCs/>
              </w:rPr>
            </w:pPr>
          </w:p>
          <w:p w14:paraId="16597BE8" w14:textId="786DC989" w:rsidR="00740473" w:rsidRDefault="003B64C8" w:rsidP="00B27BDD">
            <w:pPr>
              <w:pStyle w:val="Header"/>
              <w:jc w:val="both"/>
            </w:pPr>
            <w:r>
              <w:t>C.S.H.B</w:t>
            </w:r>
            <w:r>
              <w:t xml:space="preserve">. 4641 </w:t>
            </w:r>
            <w:r w:rsidR="00530C81">
              <w:rPr>
                <w:bCs/>
              </w:rPr>
              <w:t xml:space="preserve">authorizes </w:t>
            </w:r>
            <w:r w:rsidRPr="00740473">
              <w:rPr>
                <w:bCs/>
              </w:rPr>
              <w:t>the creditor, debt collector, or third-party debt collector</w:t>
            </w:r>
            <w:r>
              <w:rPr>
                <w:bCs/>
              </w:rPr>
              <w:t xml:space="preserve"> to </w:t>
            </w:r>
            <w:r w:rsidRPr="00740473">
              <w:rPr>
                <w:bCs/>
              </w:rPr>
              <w:t xml:space="preserve">file suit in a court of competent jurisdiction to collect the debt from the consumer, unless the alleged perpetrator of identity theft is named in </w:t>
            </w:r>
            <w:r w:rsidR="00E23342">
              <w:rPr>
                <w:bCs/>
              </w:rPr>
              <w:t xml:space="preserve">the provided </w:t>
            </w:r>
            <w:r w:rsidRPr="00740473">
              <w:rPr>
                <w:bCs/>
              </w:rPr>
              <w:t>documentation</w:t>
            </w:r>
            <w:r>
              <w:rPr>
                <w:bCs/>
              </w:rPr>
              <w:t>, if</w:t>
            </w:r>
            <w:r w:rsidR="00530C81" w:rsidRPr="00145768">
              <w:rPr>
                <w:bCs/>
              </w:rPr>
              <w:t xml:space="preserve"> </w:t>
            </w:r>
            <w:r w:rsidR="003B233E">
              <w:rPr>
                <w:bCs/>
              </w:rPr>
              <w:t>the</w:t>
            </w:r>
            <w:r w:rsidR="00530C81" w:rsidRPr="00145768">
              <w:rPr>
                <w:bCs/>
              </w:rPr>
              <w:t xml:space="preserve"> debt collector has a good faith reason to believe that a consumer has disputed a consumer debt or portion of a consumer debt based on a material misrepresentation that the consumer is a victim of identity theft</w:t>
            </w:r>
            <w:r>
              <w:rPr>
                <w:bCs/>
              </w:rPr>
              <w:t>.</w:t>
            </w:r>
            <w:r w:rsidR="003B233E">
              <w:rPr>
                <w:bCs/>
              </w:rPr>
              <w:t xml:space="preserve"> With respect to such a suit, the bill</w:t>
            </w:r>
            <w:r w:rsidR="003B233E">
              <w:t xml:space="preserve"> </w:t>
            </w:r>
            <w:r>
              <w:t xml:space="preserve">requires a </w:t>
            </w:r>
            <w:r w:rsidRPr="00740473">
              <w:t>creditor, debt collector, or third-party debt collector</w:t>
            </w:r>
            <w:r w:rsidR="003B233E">
              <w:t xml:space="preserve"> </w:t>
            </w:r>
            <w:r>
              <w:t>to show by cl</w:t>
            </w:r>
            <w:r>
              <w:t>ear and convincing evidence that the consumer is not a victim of identity theft and</w:t>
            </w:r>
            <w:r w:rsidR="003B233E">
              <w:t>,</w:t>
            </w:r>
            <w:r>
              <w:t xml:space="preserve"> if the consumer prevails in the suit, </w:t>
            </w:r>
            <w:r w:rsidR="003B233E">
              <w:t xml:space="preserve">to </w:t>
            </w:r>
            <w:r>
              <w:t>pay the consumer's court costs, attorney's fees, and damages.</w:t>
            </w:r>
          </w:p>
          <w:p w14:paraId="2B70065E" w14:textId="77777777" w:rsidR="00E23342" w:rsidRDefault="00E23342" w:rsidP="00B27BDD">
            <w:pPr>
              <w:pStyle w:val="Header"/>
              <w:jc w:val="both"/>
              <w:rPr>
                <w:bCs/>
              </w:rPr>
            </w:pPr>
          </w:p>
          <w:p w14:paraId="2E4F54C5" w14:textId="77777777" w:rsidR="00E23342" w:rsidRDefault="003B64C8" w:rsidP="00B27BDD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C.S.H.B. 4641 does not apply to consumer debt that is a home loan.</w:t>
            </w:r>
          </w:p>
          <w:p w14:paraId="1A9A553A" w14:textId="174ADEBA" w:rsidR="00B27BDD" w:rsidRPr="00145768" w:rsidRDefault="00B27BDD" w:rsidP="00B27BDD">
            <w:pPr>
              <w:pStyle w:val="Header"/>
              <w:jc w:val="both"/>
              <w:rPr>
                <w:bCs/>
              </w:rPr>
            </w:pPr>
          </w:p>
        </w:tc>
      </w:tr>
      <w:tr w:rsidR="0079210C" w14:paraId="33DB3029" w14:textId="77777777" w:rsidTr="00634220">
        <w:tc>
          <w:tcPr>
            <w:tcW w:w="9360" w:type="dxa"/>
          </w:tcPr>
          <w:p w14:paraId="5E73349B" w14:textId="77777777" w:rsidR="008423E4" w:rsidRPr="00A8133F" w:rsidRDefault="003B64C8" w:rsidP="00B27BD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B60E41" w14:textId="77777777" w:rsidR="008423E4" w:rsidRDefault="008423E4" w:rsidP="00B27BDD"/>
          <w:p w14:paraId="4DAD9571" w14:textId="77777777" w:rsidR="008423E4" w:rsidRDefault="003B64C8" w:rsidP="00B27B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6667674" w14:textId="0793D70C" w:rsidR="00B27BDD" w:rsidRPr="00233FDB" w:rsidRDefault="00B27BDD" w:rsidP="00B27BD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9210C" w14:paraId="54BBB7EB" w14:textId="77777777" w:rsidTr="00634220">
        <w:tc>
          <w:tcPr>
            <w:tcW w:w="9360" w:type="dxa"/>
          </w:tcPr>
          <w:p w14:paraId="4A68A438" w14:textId="7C02D4B6" w:rsidR="00AD7C52" w:rsidRDefault="003B64C8" w:rsidP="00B27BD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062FDC3" w14:textId="77777777" w:rsidR="00634220" w:rsidRDefault="00634220" w:rsidP="00B27BDD">
            <w:pPr>
              <w:jc w:val="both"/>
            </w:pPr>
          </w:p>
          <w:p w14:paraId="2CE23C4A" w14:textId="403739E1" w:rsidR="00634220" w:rsidRDefault="003B64C8" w:rsidP="00B27BDD">
            <w:pPr>
              <w:jc w:val="both"/>
            </w:pPr>
            <w:r>
              <w:t xml:space="preserve">While C.S.H.B. 4641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083CC453" w14:textId="77777777" w:rsidR="00634220" w:rsidRPr="00634220" w:rsidRDefault="00634220" w:rsidP="00B27BDD">
            <w:pPr>
              <w:jc w:val="both"/>
            </w:pPr>
          </w:p>
          <w:p w14:paraId="50164B04" w14:textId="26D97CCA" w:rsidR="00634220" w:rsidRDefault="003B64C8" w:rsidP="00B27BDD">
            <w:pPr>
              <w:jc w:val="both"/>
              <w:rPr>
                <w:bCs/>
              </w:rPr>
            </w:pPr>
            <w:r w:rsidRPr="00740473">
              <w:rPr>
                <w:bCs/>
              </w:rPr>
              <w:t>The substitute changes provision</w:t>
            </w:r>
            <w:r w:rsidR="005863A3">
              <w:rPr>
                <w:bCs/>
              </w:rPr>
              <w:t>s</w:t>
            </w:r>
            <w:r w:rsidRPr="00740473">
              <w:rPr>
                <w:bCs/>
              </w:rPr>
              <w:t xml:space="preserve"> </w:t>
            </w:r>
            <w:r w:rsidR="005863A3">
              <w:rPr>
                <w:bCs/>
              </w:rPr>
              <w:t xml:space="preserve">regarding the collection </w:t>
            </w:r>
            <w:r w:rsidR="00C06632">
              <w:rPr>
                <w:bCs/>
              </w:rPr>
              <w:t>of consumer debt from a victim of identity theft</w:t>
            </w:r>
            <w:r>
              <w:rPr>
                <w:bCs/>
              </w:rPr>
              <w:t xml:space="preserve"> </w:t>
            </w:r>
            <w:r w:rsidRPr="00740473">
              <w:rPr>
                <w:bCs/>
              </w:rPr>
              <w:t>as follows:</w:t>
            </w:r>
          </w:p>
          <w:p w14:paraId="01149600" w14:textId="3EDF3919" w:rsidR="00740473" w:rsidRDefault="003B64C8" w:rsidP="00B27BDD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includes</w:t>
            </w:r>
            <w:r w:rsidR="0064373F">
              <w:rPr>
                <w:bCs/>
              </w:rPr>
              <w:t xml:space="preserve"> a </w:t>
            </w:r>
            <w:r w:rsidR="00DF3412">
              <w:rPr>
                <w:bCs/>
              </w:rPr>
              <w:t>person with a disability</w:t>
            </w:r>
            <w:r w:rsidR="0064373F">
              <w:rPr>
                <w:bCs/>
              </w:rPr>
              <w:t xml:space="preserve"> </w:t>
            </w:r>
            <w:r>
              <w:rPr>
                <w:bCs/>
              </w:rPr>
              <w:t xml:space="preserve">among </w:t>
            </w:r>
            <w:r w:rsidR="00DC5AFC">
              <w:rPr>
                <w:bCs/>
              </w:rPr>
              <w:t xml:space="preserve">the </w:t>
            </w:r>
            <w:r>
              <w:rPr>
                <w:bCs/>
              </w:rPr>
              <w:t xml:space="preserve">consumers whose consumer debt is prohibited from being collected if the person provides the </w:t>
            </w:r>
            <w:r w:rsidR="006D5A62">
              <w:rPr>
                <w:bCs/>
              </w:rPr>
              <w:t xml:space="preserve">required </w:t>
            </w:r>
            <w:r w:rsidR="00741ABF">
              <w:rPr>
                <w:bCs/>
              </w:rPr>
              <w:t>affidavit or unsworn declaration that the consumer is a victim of identity theft</w:t>
            </w:r>
            <w:r>
              <w:rPr>
                <w:bCs/>
              </w:rPr>
              <w:t xml:space="preserve">, </w:t>
            </w:r>
            <w:r w:rsidR="0064373F">
              <w:rPr>
                <w:bCs/>
              </w:rPr>
              <w:t>whereas the introd</w:t>
            </w:r>
            <w:r>
              <w:rPr>
                <w:bCs/>
              </w:rPr>
              <w:t xml:space="preserve">uced included </w:t>
            </w:r>
            <w:r w:rsidR="0064373F">
              <w:rPr>
                <w:bCs/>
              </w:rPr>
              <w:t>a vulnerable person</w:t>
            </w:r>
            <w:r w:rsidR="005863A3">
              <w:rPr>
                <w:bCs/>
              </w:rPr>
              <w:t>, the definition of which included an elderly person</w:t>
            </w:r>
            <w:r>
              <w:rPr>
                <w:bCs/>
              </w:rPr>
              <w:t>, among those consumers</w:t>
            </w:r>
            <w:r w:rsidR="00DF3412">
              <w:rPr>
                <w:bCs/>
              </w:rPr>
              <w:t>;</w:t>
            </w:r>
          </w:p>
          <w:p w14:paraId="1EC3E2B0" w14:textId="4B6E5878" w:rsidR="00A410CB" w:rsidRDefault="003B64C8" w:rsidP="00B27BDD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includes a </w:t>
            </w:r>
            <w:r w:rsidR="00B66FEE">
              <w:rPr>
                <w:bCs/>
              </w:rPr>
              <w:t>clarification</w:t>
            </w:r>
            <w:r>
              <w:rPr>
                <w:bCs/>
              </w:rPr>
              <w:t xml:space="preserve"> absent from the introduced that the affidavit or unsworn declaration the provision of which prohibits </w:t>
            </w:r>
            <w:r w:rsidR="00B66FEE">
              <w:rPr>
                <w:bCs/>
              </w:rPr>
              <w:t>any</w:t>
            </w:r>
            <w:r>
              <w:rPr>
                <w:bCs/>
              </w:rPr>
              <w:t xml:space="preserve"> attempt to collect the debt</w:t>
            </w:r>
            <w:r w:rsidR="00B66FEE">
              <w:rPr>
                <w:bCs/>
              </w:rPr>
              <w:t xml:space="preserve"> is an affidavit or unsworn </w:t>
            </w:r>
            <w:r w:rsidR="001E7C74">
              <w:rPr>
                <w:bCs/>
              </w:rPr>
              <w:t xml:space="preserve">declaration </w:t>
            </w:r>
            <w:r w:rsidR="00B66FEE">
              <w:rPr>
                <w:bCs/>
              </w:rPr>
              <w:t>declaring the consumer a victim of identity theft;</w:t>
            </w:r>
          </w:p>
          <w:p w14:paraId="73340A5B" w14:textId="321FF2C8" w:rsidR="00DC5AFC" w:rsidRDefault="003B64C8" w:rsidP="00B27BDD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whereas the introduced established the required contents of the affidavit, the substitute establishes the contents of both the affidavit and unsworn declaration;</w:t>
            </w:r>
            <w:r w:rsidR="00F44B57">
              <w:rPr>
                <w:bCs/>
              </w:rPr>
              <w:t xml:space="preserve"> and</w:t>
            </w:r>
          </w:p>
          <w:p w14:paraId="042D9513" w14:textId="3951E3DE" w:rsidR="00921B7C" w:rsidRDefault="003B64C8" w:rsidP="00B27BDD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with respect to</w:t>
            </w:r>
            <w:r w:rsidR="00DF3412">
              <w:rPr>
                <w:bCs/>
              </w:rPr>
              <w:t xml:space="preserve"> </w:t>
            </w:r>
            <w:r>
              <w:rPr>
                <w:bCs/>
              </w:rPr>
              <w:t xml:space="preserve">that </w:t>
            </w:r>
            <w:r w:rsidR="00741ABF">
              <w:rPr>
                <w:bCs/>
              </w:rPr>
              <w:t>affidavit or declaration:</w:t>
            </w:r>
            <w:r w:rsidR="00DF3412">
              <w:rPr>
                <w:bCs/>
              </w:rPr>
              <w:t xml:space="preserve"> </w:t>
            </w:r>
          </w:p>
          <w:p w14:paraId="2F2C7C7D" w14:textId="119C2679" w:rsidR="00921B7C" w:rsidRDefault="003B64C8" w:rsidP="00B27BDD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includes among the </w:t>
            </w:r>
            <w:r w:rsidR="00A410CB">
              <w:rPr>
                <w:bCs/>
              </w:rPr>
              <w:t>required contents of the affidavit or declaration</w:t>
            </w:r>
            <w:r>
              <w:rPr>
                <w:bCs/>
              </w:rPr>
              <w:t xml:space="preserve"> a</w:t>
            </w:r>
            <w:r w:rsidRPr="00921B7C">
              <w:rPr>
                <w:bCs/>
              </w:rPr>
              <w:t xml:space="preserve"> copy of a Federal Trade Commission identity theft victim's report, completed, signed, and filed by the consumer</w:t>
            </w:r>
            <w:r>
              <w:rPr>
                <w:bCs/>
              </w:rPr>
              <w:t>, that affirms that the consumer is a victim of identity theft and identifies the relevant debt or portion of debt, whereas the introduced requi</w:t>
            </w:r>
            <w:r>
              <w:rPr>
                <w:bCs/>
              </w:rPr>
              <w:t>red a statement that identified the relevant debt and detailed the circumstance</w:t>
            </w:r>
            <w:r w:rsidR="001E7C74">
              <w:rPr>
                <w:bCs/>
              </w:rPr>
              <w:t>s</w:t>
            </w:r>
            <w:r>
              <w:rPr>
                <w:bCs/>
              </w:rPr>
              <w:t xml:space="preserve"> of the identity theft; and</w:t>
            </w:r>
          </w:p>
          <w:p w14:paraId="6B0D1443" w14:textId="0801C92C" w:rsidR="00F44B57" w:rsidRPr="00145768" w:rsidRDefault="003B64C8" w:rsidP="00B27BDD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  <w:rPr>
                <w:bCs/>
              </w:rPr>
            </w:pPr>
            <w:r w:rsidRPr="00145768">
              <w:rPr>
                <w:bCs/>
              </w:rPr>
              <w:t xml:space="preserve">specifies the documents that a victim of </w:t>
            </w:r>
            <w:r w:rsidR="00921B7C" w:rsidRPr="00145768">
              <w:rPr>
                <w:bCs/>
              </w:rPr>
              <w:t xml:space="preserve">family violence or of human trafficking must </w:t>
            </w:r>
            <w:r w:rsidR="00C708EB" w:rsidRPr="00145768">
              <w:rPr>
                <w:bCs/>
              </w:rPr>
              <w:t>include</w:t>
            </w:r>
            <w:r w:rsidRPr="00145768">
              <w:rPr>
                <w:bCs/>
              </w:rPr>
              <w:t xml:space="preserve"> in the affidavit or declaration</w:t>
            </w:r>
            <w:r w:rsidR="00C708EB" w:rsidRPr="00145768">
              <w:rPr>
                <w:bCs/>
              </w:rPr>
              <w:t>, which the introduced</w:t>
            </w:r>
            <w:r w:rsidR="00B66FEE" w:rsidRPr="00145768">
              <w:rPr>
                <w:bCs/>
              </w:rPr>
              <w:t xml:space="preserve"> did not do</w:t>
            </w:r>
            <w:r w:rsidR="00145768" w:rsidRPr="00145768">
              <w:rPr>
                <w:bCs/>
              </w:rPr>
              <w:t>.</w:t>
            </w:r>
          </w:p>
          <w:p w14:paraId="789335C7" w14:textId="77777777" w:rsidR="00F44B57" w:rsidRDefault="00F44B57" w:rsidP="00B27BDD">
            <w:pPr>
              <w:jc w:val="both"/>
              <w:rPr>
                <w:bCs/>
              </w:rPr>
            </w:pPr>
          </w:p>
          <w:p w14:paraId="095F56B7" w14:textId="1EE66E38" w:rsidR="00F44B57" w:rsidRDefault="003B64C8" w:rsidP="00B27BDD">
            <w:pPr>
              <w:jc w:val="both"/>
              <w:rPr>
                <w:bCs/>
              </w:rPr>
            </w:pPr>
            <w:r>
              <w:rPr>
                <w:bCs/>
              </w:rPr>
              <w:t>Whereas both the introduced and substitute prohibit</w:t>
            </w:r>
            <w:r w:rsidRPr="00F44B57">
              <w:rPr>
                <w:bCs/>
              </w:rPr>
              <w:t xml:space="preserve"> a creditor, debt collector, or third-party debt collector who receives notice that a consumer debt is a result of identify theft from selling the debt or transfer</w:t>
            </w:r>
            <w:r>
              <w:rPr>
                <w:bCs/>
              </w:rPr>
              <w:t xml:space="preserve">ring it for </w:t>
            </w:r>
            <w:r>
              <w:rPr>
                <w:bCs/>
              </w:rPr>
              <w:t>consideration, only the substitute includes an exception to that prohibition that</w:t>
            </w:r>
            <w:r w:rsidR="00053D26">
              <w:rPr>
                <w:bCs/>
              </w:rPr>
              <w:t xml:space="preserve"> the debt may be sold or transferred to collect </w:t>
            </w:r>
            <w:r w:rsidR="00053D26" w:rsidRPr="00053D26">
              <w:rPr>
                <w:bCs/>
              </w:rPr>
              <w:t>the debt from a responsible person other than the victim of identity theft</w:t>
            </w:r>
            <w:r w:rsidR="00053D26">
              <w:rPr>
                <w:bCs/>
              </w:rPr>
              <w:t>.</w:t>
            </w:r>
          </w:p>
          <w:p w14:paraId="091F20B5" w14:textId="77777777" w:rsidR="00053D26" w:rsidRDefault="00053D26" w:rsidP="00B27BDD">
            <w:pPr>
              <w:jc w:val="both"/>
              <w:rPr>
                <w:bCs/>
              </w:rPr>
            </w:pPr>
          </w:p>
          <w:p w14:paraId="732BD04D" w14:textId="67BACD80" w:rsidR="00F44B57" w:rsidRDefault="003B64C8" w:rsidP="00B27BDD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</w:t>
            </w:r>
            <w:r w:rsidR="00AA7EA2" w:rsidRPr="00F44B57">
              <w:rPr>
                <w:bCs/>
              </w:rPr>
              <w:t>includes</w:t>
            </w:r>
            <w:r>
              <w:rPr>
                <w:bCs/>
              </w:rPr>
              <w:t xml:space="preserve"> the following</w:t>
            </w:r>
            <w:r w:rsidR="00AA7EA2" w:rsidRPr="00F44B57">
              <w:rPr>
                <w:bCs/>
              </w:rPr>
              <w:t xml:space="preserve"> provisions </w:t>
            </w:r>
            <w:r w:rsidR="00C708EB" w:rsidRPr="00F44B57">
              <w:rPr>
                <w:bCs/>
              </w:rPr>
              <w:t xml:space="preserve">that </w:t>
            </w:r>
            <w:r>
              <w:rPr>
                <w:bCs/>
              </w:rPr>
              <w:t>were absent from</w:t>
            </w:r>
            <w:r w:rsidR="00C708EB" w:rsidRPr="00F44B57">
              <w:rPr>
                <w:bCs/>
              </w:rPr>
              <w:t xml:space="preserve"> the introduced</w:t>
            </w:r>
            <w:r>
              <w:rPr>
                <w:bCs/>
              </w:rPr>
              <w:t>:</w:t>
            </w:r>
          </w:p>
          <w:p w14:paraId="70B83869" w14:textId="7E35A5C7" w:rsidR="00F44B57" w:rsidRPr="00053D26" w:rsidRDefault="003B64C8" w:rsidP="00B27BD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t xml:space="preserve">a provision authorizing a </w:t>
            </w:r>
            <w:r w:rsidRPr="00DC12C8">
              <w:t>creditor, debt collector, or third-party debt collector</w:t>
            </w:r>
            <w:r>
              <w:t xml:space="preserve">, </w:t>
            </w:r>
            <w:r w:rsidRPr="00365FE2">
              <w:t>if the disputed debt or disputed portion of the debt is secured by tangible personal property,</w:t>
            </w:r>
            <w:r>
              <w:t xml:space="preserve"> to</w:t>
            </w:r>
            <w:r w:rsidRPr="00365FE2">
              <w:t xml:space="preserve"> enforce the security interest</w:t>
            </w:r>
            <w:r>
              <w:t xml:space="preserve"> but proh</w:t>
            </w:r>
            <w:r>
              <w:t xml:space="preserve">ibiting the creditor, debt collector, or third-party debt collector from </w:t>
            </w:r>
            <w:r w:rsidRPr="00530C81">
              <w:t>collect</w:t>
            </w:r>
            <w:r>
              <w:t xml:space="preserve">ing </w:t>
            </w:r>
            <w:r w:rsidRPr="00530C81">
              <w:t>or seek</w:t>
            </w:r>
            <w:r>
              <w:t>ing</w:t>
            </w:r>
            <w:r w:rsidRPr="00530C81">
              <w:t xml:space="preserve"> to collect any deficiency from the victim of identity theft</w:t>
            </w:r>
            <w:r>
              <w:t>;</w:t>
            </w:r>
          </w:p>
          <w:p w14:paraId="422B6456" w14:textId="478F6298" w:rsidR="00053D26" w:rsidRDefault="003B64C8" w:rsidP="00B27BD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an authorization for a creditor, debt collector, or third-party debt collector to </w:t>
            </w:r>
            <w:r w:rsidRPr="00F44B57">
              <w:rPr>
                <w:bCs/>
              </w:rPr>
              <w:t>file suit to colle</w:t>
            </w:r>
            <w:r w:rsidRPr="00F44B57">
              <w:rPr>
                <w:bCs/>
              </w:rPr>
              <w:t>ct the debt if the collector has good faith reason to believe that a consumer's dispute of the debt is based on a material misrepresentation that the consumer is a victim of identity theft</w:t>
            </w:r>
            <w:r>
              <w:rPr>
                <w:bCs/>
              </w:rPr>
              <w:t>; and</w:t>
            </w:r>
          </w:p>
          <w:p w14:paraId="62C6313E" w14:textId="66456FF0" w:rsidR="00145768" w:rsidRDefault="003B64C8" w:rsidP="00B27BDD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t xml:space="preserve">with regard to such a suit, a requirement for a </w:t>
            </w:r>
            <w:r w:rsidRPr="00740473">
              <w:t>creditor, debt</w:t>
            </w:r>
            <w:r w:rsidRPr="00740473">
              <w:t xml:space="preserve"> collector, or third-party debt collector</w:t>
            </w:r>
            <w:r>
              <w:t xml:space="preserve"> to show by clear and convincing evidence that the consumer is not a victim of identity theft and, if the consumer prevails in the suit, to pay the consumer's court costs, attorney's fees, and damages.</w:t>
            </w:r>
          </w:p>
          <w:p w14:paraId="2B23D98B" w14:textId="491D6926" w:rsidR="00053D26" w:rsidRDefault="00053D26" w:rsidP="00B27BDD">
            <w:pPr>
              <w:pStyle w:val="Header"/>
              <w:jc w:val="both"/>
            </w:pPr>
          </w:p>
          <w:p w14:paraId="7B85BD4A" w14:textId="2518FB4E" w:rsidR="00AD7C52" w:rsidRPr="00145768" w:rsidRDefault="00AD7C52" w:rsidP="00B27BDD">
            <w:pPr>
              <w:pStyle w:val="ListParagraph"/>
              <w:contextualSpacing w:val="0"/>
              <w:jc w:val="both"/>
              <w:rPr>
                <w:bCs/>
              </w:rPr>
            </w:pPr>
          </w:p>
        </w:tc>
      </w:tr>
    </w:tbl>
    <w:p w14:paraId="19B9B196" w14:textId="2E77F875" w:rsidR="004108C3" w:rsidRPr="008423E4" w:rsidRDefault="004108C3" w:rsidP="00B27BD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6962" w14:textId="77777777" w:rsidR="00000000" w:rsidRDefault="003B64C8">
      <w:r>
        <w:separator/>
      </w:r>
    </w:p>
  </w:endnote>
  <w:endnote w:type="continuationSeparator" w:id="0">
    <w:p w14:paraId="36501BB7" w14:textId="77777777" w:rsidR="00000000" w:rsidRDefault="003B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52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210C" w14:paraId="5D0EA3DA" w14:textId="77777777" w:rsidTr="009C1E9A">
      <w:trPr>
        <w:cantSplit/>
      </w:trPr>
      <w:tc>
        <w:tcPr>
          <w:tcW w:w="0" w:type="pct"/>
        </w:tcPr>
        <w:p w14:paraId="761FAF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A4AB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4FDFE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4CE9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9451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210C" w14:paraId="6043B8C5" w14:textId="77777777" w:rsidTr="009C1E9A">
      <w:trPr>
        <w:cantSplit/>
      </w:trPr>
      <w:tc>
        <w:tcPr>
          <w:tcW w:w="0" w:type="pct"/>
        </w:tcPr>
        <w:p w14:paraId="15B0D7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354862" w14:textId="60C4859A" w:rsidR="00EC379B" w:rsidRPr="009C1E9A" w:rsidRDefault="003B64C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25633-D</w:t>
          </w:r>
        </w:p>
      </w:tc>
      <w:tc>
        <w:tcPr>
          <w:tcW w:w="2453" w:type="pct"/>
        </w:tcPr>
        <w:p w14:paraId="6326BD94" w14:textId="394482D6" w:rsidR="00EC379B" w:rsidRDefault="003B64C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27BDD">
            <w:t>23.114.1998</w:t>
          </w:r>
          <w:r>
            <w:fldChar w:fldCharType="end"/>
          </w:r>
        </w:p>
      </w:tc>
    </w:tr>
    <w:tr w:rsidR="0079210C" w14:paraId="699CC54D" w14:textId="77777777" w:rsidTr="009C1E9A">
      <w:trPr>
        <w:cantSplit/>
      </w:trPr>
      <w:tc>
        <w:tcPr>
          <w:tcW w:w="0" w:type="pct"/>
        </w:tcPr>
        <w:p w14:paraId="21144DE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FCBBA8" w14:textId="1ED26FC8" w:rsidR="00EC379B" w:rsidRPr="009C1E9A" w:rsidRDefault="003B64C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18894</w:t>
          </w:r>
        </w:p>
      </w:tc>
      <w:tc>
        <w:tcPr>
          <w:tcW w:w="2453" w:type="pct"/>
        </w:tcPr>
        <w:p w14:paraId="54B7EC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018D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210C" w14:paraId="201075D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4A0838" w14:textId="77777777" w:rsidR="00EC379B" w:rsidRDefault="003B64C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92A1F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86A82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456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2EDA" w14:textId="77777777" w:rsidR="00000000" w:rsidRDefault="003B64C8">
      <w:r>
        <w:separator/>
      </w:r>
    </w:p>
  </w:footnote>
  <w:footnote w:type="continuationSeparator" w:id="0">
    <w:p w14:paraId="7F9DBDD6" w14:textId="77777777" w:rsidR="00000000" w:rsidRDefault="003B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D75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EF0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A5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66D73"/>
    <w:multiLevelType w:val="hybridMultilevel"/>
    <w:tmpl w:val="68CCBC3E"/>
    <w:lvl w:ilvl="0" w:tplc="8F16B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A6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8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CE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41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A2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E9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4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C1537"/>
    <w:multiLevelType w:val="hybridMultilevel"/>
    <w:tmpl w:val="0AD296F0"/>
    <w:lvl w:ilvl="0" w:tplc="D8A6F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C23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E0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F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6C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E9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8E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2B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C3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66A3A"/>
    <w:multiLevelType w:val="hybridMultilevel"/>
    <w:tmpl w:val="13EA4BA0"/>
    <w:lvl w:ilvl="0" w:tplc="BE72B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0B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6B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1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87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8E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0C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CC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AC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45D42"/>
    <w:multiLevelType w:val="hybridMultilevel"/>
    <w:tmpl w:val="DA7442E8"/>
    <w:lvl w:ilvl="0" w:tplc="D1B0E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A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E8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85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2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65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E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21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2F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29385">
    <w:abstractNumId w:val="3"/>
  </w:num>
  <w:num w:numId="2" w16cid:durableId="632366922">
    <w:abstractNumId w:val="0"/>
  </w:num>
  <w:num w:numId="3" w16cid:durableId="323626737">
    <w:abstractNumId w:val="2"/>
  </w:num>
  <w:num w:numId="4" w16cid:durableId="25659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6D"/>
    <w:rsid w:val="00000A70"/>
    <w:rsid w:val="000032B8"/>
    <w:rsid w:val="00003B06"/>
    <w:rsid w:val="000054B9"/>
    <w:rsid w:val="00007461"/>
    <w:rsid w:val="0001117E"/>
    <w:rsid w:val="0001125F"/>
    <w:rsid w:val="00012A07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D26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D6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768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C7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D98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559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692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120"/>
    <w:rsid w:val="00303B0C"/>
    <w:rsid w:val="0030459C"/>
    <w:rsid w:val="00313DFE"/>
    <w:rsid w:val="003143B2"/>
    <w:rsid w:val="00314821"/>
    <w:rsid w:val="0031483F"/>
    <w:rsid w:val="0031741B"/>
    <w:rsid w:val="003211E0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CAF"/>
    <w:rsid w:val="003536AA"/>
    <w:rsid w:val="003544CE"/>
    <w:rsid w:val="00355A98"/>
    <w:rsid w:val="00355D7E"/>
    <w:rsid w:val="003568DE"/>
    <w:rsid w:val="00357A0E"/>
    <w:rsid w:val="00357CA1"/>
    <w:rsid w:val="003608D3"/>
    <w:rsid w:val="00361FE9"/>
    <w:rsid w:val="003624F2"/>
    <w:rsid w:val="00363854"/>
    <w:rsid w:val="00364315"/>
    <w:rsid w:val="003643E2"/>
    <w:rsid w:val="00365F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33E"/>
    <w:rsid w:val="003B2891"/>
    <w:rsid w:val="003B3DF3"/>
    <w:rsid w:val="003B48E2"/>
    <w:rsid w:val="003B4FA1"/>
    <w:rsid w:val="003B5BAD"/>
    <w:rsid w:val="003B64C8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938"/>
    <w:rsid w:val="003D726D"/>
    <w:rsid w:val="003E0875"/>
    <w:rsid w:val="003E0BB8"/>
    <w:rsid w:val="003E5A48"/>
    <w:rsid w:val="003E6CB0"/>
    <w:rsid w:val="003F1F5E"/>
    <w:rsid w:val="003F286A"/>
    <w:rsid w:val="003F77F8"/>
    <w:rsid w:val="003F7C4C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F65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C81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04"/>
    <w:rsid w:val="005832EE"/>
    <w:rsid w:val="005847EF"/>
    <w:rsid w:val="005851E6"/>
    <w:rsid w:val="005855A3"/>
    <w:rsid w:val="005863A3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3FC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9C0"/>
    <w:rsid w:val="005D4DAE"/>
    <w:rsid w:val="005D767D"/>
    <w:rsid w:val="005D7A30"/>
    <w:rsid w:val="005D7D3B"/>
    <w:rsid w:val="005E1999"/>
    <w:rsid w:val="005E232C"/>
    <w:rsid w:val="005E2B83"/>
    <w:rsid w:val="005E4AEB"/>
    <w:rsid w:val="005E7336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220"/>
    <w:rsid w:val="006402E7"/>
    <w:rsid w:val="00640CB6"/>
    <w:rsid w:val="00641B42"/>
    <w:rsid w:val="0064373F"/>
    <w:rsid w:val="00645750"/>
    <w:rsid w:val="00650692"/>
    <w:rsid w:val="006508D3"/>
    <w:rsid w:val="00650AFA"/>
    <w:rsid w:val="00656B5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567"/>
    <w:rsid w:val="006D3005"/>
    <w:rsid w:val="006D504F"/>
    <w:rsid w:val="006D5A6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B3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73"/>
    <w:rsid w:val="007404BC"/>
    <w:rsid w:val="00740D13"/>
    <w:rsid w:val="00740F5F"/>
    <w:rsid w:val="00741ABF"/>
    <w:rsid w:val="00742794"/>
    <w:rsid w:val="00742960"/>
    <w:rsid w:val="00743C4C"/>
    <w:rsid w:val="007445B7"/>
    <w:rsid w:val="00744920"/>
    <w:rsid w:val="0074691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10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150"/>
    <w:rsid w:val="008423E4"/>
    <w:rsid w:val="00842900"/>
    <w:rsid w:val="00845F6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2DF3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B6D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1B7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92A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A2B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0CB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A7EA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C5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BDD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FEE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21D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63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8EB"/>
    <w:rsid w:val="00C72956"/>
    <w:rsid w:val="00C73045"/>
    <w:rsid w:val="00C73212"/>
    <w:rsid w:val="00C7354A"/>
    <w:rsid w:val="00C74379"/>
    <w:rsid w:val="00C74DD8"/>
    <w:rsid w:val="00C75A76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E7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1E8"/>
    <w:rsid w:val="00D11B0B"/>
    <w:rsid w:val="00D12A3E"/>
    <w:rsid w:val="00D22160"/>
    <w:rsid w:val="00D22172"/>
    <w:rsid w:val="00D2301B"/>
    <w:rsid w:val="00D239EE"/>
    <w:rsid w:val="00D30534"/>
    <w:rsid w:val="00D3545F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B22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2C8"/>
    <w:rsid w:val="00DC1F1B"/>
    <w:rsid w:val="00DC3D8F"/>
    <w:rsid w:val="00DC42E8"/>
    <w:rsid w:val="00DC5AFC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3412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123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342"/>
    <w:rsid w:val="00E2551E"/>
    <w:rsid w:val="00E26B13"/>
    <w:rsid w:val="00E27E5A"/>
    <w:rsid w:val="00E31135"/>
    <w:rsid w:val="00E317BA"/>
    <w:rsid w:val="00E3469B"/>
    <w:rsid w:val="00E3605E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C18"/>
    <w:rsid w:val="00E8272C"/>
    <w:rsid w:val="00E827C7"/>
    <w:rsid w:val="00E85DBD"/>
    <w:rsid w:val="00E87A99"/>
    <w:rsid w:val="00E90702"/>
    <w:rsid w:val="00E9241E"/>
    <w:rsid w:val="00E92802"/>
    <w:rsid w:val="00E93DEF"/>
    <w:rsid w:val="00E947B1"/>
    <w:rsid w:val="00E96852"/>
    <w:rsid w:val="00EA16AC"/>
    <w:rsid w:val="00EA385A"/>
    <w:rsid w:val="00EA3931"/>
    <w:rsid w:val="00EA658E"/>
    <w:rsid w:val="00EA7A88"/>
    <w:rsid w:val="00EB112E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B57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764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A6AB6E-F4FA-440A-81D9-89AA6EF9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B11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1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11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112E"/>
    <w:rPr>
      <w:b/>
      <w:bCs/>
    </w:rPr>
  </w:style>
  <w:style w:type="paragraph" w:styleId="Revision">
    <w:name w:val="Revision"/>
    <w:hidden/>
    <w:uiPriority w:val="99"/>
    <w:semiHidden/>
    <w:rsid w:val="003211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73"/>
    <w:pPr>
      <w:ind w:left="720"/>
      <w:contextualSpacing/>
    </w:pPr>
  </w:style>
  <w:style w:type="character" w:styleId="Hyperlink">
    <w:name w:val="Hyperlink"/>
    <w:basedOn w:val="DefaultParagraphFont"/>
    <w:unhideWhenUsed/>
    <w:rsid w:val="003F7C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C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F7C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1632</Words>
  <Characters>8724</Characters>
  <Application>Microsoft Office Word</Application>
  <DocSecurity>4</DocSecurity>
  <Lines>168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HB04641 (Committee Report (Substituted))</vt:lpstr>
    </vt:vector>
  </TitlesOfParts>
  <Company>State of Texas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25633</dc:subject>
  <dc:creator>State of Texas</dc:creator>
  <dc:description>HB 4641 by Meyer-(H)Pensions, Investments &amp; Financial Services (Substitute Document Number: 88R 18894)</dc:description>
  <cp:lastModifiedBy>Stacey Nicchio</cp:lastModifiedBy>
  <cp:revision>2</cp:revision>
  <cp:lastPrinted>2003-11-26T17:21:00Z</cp:lastPrinted>
  <dcterms:created xsi:type="dcterms:W3CDTF">2023-04-27T20:08:00Z</dcterms:created>
  <dcterms:modified xsi:type="dcterms:W3CDTF">2023-04-27T20:08:00Z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23.114.1998</vt:lpwstr>
  </property>
</Properties>
</file>