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439A" w14:paraId="0A90E79B" w14:textId="77777777" w:rsidTr="00345119">
        <w:tc>
          <w:tcPr>
            <w:tcW w:w="9576" w:type="dxa"/>
            <w:noWrap/>
          </w:tcPr>
          <w:p w14:paraId="17073535" w14:textId="77777777" w:rsidR="008423E4" w:rsidRPr="0022177D" w:rsidRDefault="00EB0040" w:rsidP="00162608">
            <w:pPr>
              <w:pStyle w:val="Heading1"/>
            </w:pPr>
            <w:r w:rsidRPr="00631897">
              <w:t>BILL ANALYSIS</w:t>
            </w:r>
          </w:p>
        </w:tc>
      </w:tr>
    </w:tbl>
    <w:p w14:paraId="7411E55F" w14:textId="77777777" w:rsidR="008423E4" w:rsidRPr="0022177D" w:rsidRDefault="008423E4" w:rsidP="00162608">
      <w:pPr>
        <w:jc w:val="center"/>
      </w:pPr>
    </w:p>
    <w:p w14:paraId="6D9952F6" w14:textId="77777777" w:rsidR="008423E4" w:rsidRPr="00B31F0E" w:rsidRDefault="008423E4" w:rsidP="00162608"/>
    <w:p w14:paraId="2E10A579" w14:textId="77777777" w:rsidR="008423E4" w:rsidRPr="00742794" w:rsidRDefault="008423E4" w:rsidP="0016260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439A" w14:paraId="1CDC3371" w14:textId="77777777" w:rsidTr="00345119">
        <w:tc>
          <w:tcPr>
            <w:tcW w:w="9576" w:type="dxa"/>
          </w:tcPr>
          <w:p w14:paraId="4FA8E168" w14:textId="1FB51155" w:rsidR="008423E4" w:rsidRPr="00861995" w:rsidRDefault="00EB0040" w:rsidP="00162608">
            <w:pPr>
              <w:jc w:val="right"/>
            </w:pPr>
            <w:r>
              <w:t>C.S.H.B. 4659</w:t>
            </w:r>
          </w:p>
        </w:tc>
      </w:tr>
      <w:tr w:rsidR="0055439A" w14:paraId="244D9CC4" w14:textId="77777777" w:rsidTr="00345119">
        <w:tc>
          <w:tcPr>
            <w:tcW w:w="9576" w:type="dxa"/>
          </w:tcPr>
          <w:p w14:paraId="46AE35AA" w14:textId="4E45D2C2" w:rsidR="008423E4" w:rsidRPr="00861995" w:rsidRDefault="00EB0040" w:rsidP="00162608">
            <w:pPr>
              <w:jc w:val="right"/>
            </w:pPr>
            <w:r>
              <w:t xml:space="preserve">By: </w:t>
            </w:r>
            <w:r w:rsidR="002C498B">
              <w:t>Schofield</w:t>
            </w:r>
          </w:p>
        </w:tc>
      </w:tr>
      <w:tr w:rsidR="0055439A" w14:paraId="6C954415" w14:textId="77777777" w:rsidTr="00345119">
        <w:tc>
          <w:tcPr>
            <w:tcW w:w="9576" w:type="dxa"/>
          </w:tcPr>
          <w:p w14:paraId="5083D528" w14:textId="4055A353" w:rsidR="008423E4" w:rsidRPr="00861995" w:rsidRDefault="00EB0040" w:rsidP="00162608">
            <w:pPr>
              <w:jc w:val="right"/>
            </w:pPr>
            <w:r>
              <w:t>Natural Resources</w:t>
            </w:r>
          </w:p>
        </w:tc>
      </w:tr>
      <w:tr w:rsidR="0055439A" w14:paraId="048FE1E8" w14:textId="77777777" w:rsidTr="00345119">
        <w:tc>
          <w:tcPr>
            <w:tcW w:w="9576" w:type="dxa"/>
          </w:tcPr>
          <w:p w14:paraId="3561D0B1" w14:textId="5007B435" w:rsidR="008423E4" w:rsidRDefault="00EB0040" w:rsidP="00162608">
            <w:pPr>
              <w:jc w:val="right"/>
            </w:pPr>
            <w:r>
              <w:t>Committee Report (Substituted)</w:t>
            </w:r>
          </w:p>
        </w:tc>
      </w:tr>
    </w:tbl>
    <w:p w14:paraId="1EDA3F53" w14:textId="77777777" w:rsidR="008423E4" w:rsidRDefault="008423E4" w:rsidP="00162608">
      <w:pPr>
        <w:tabs>
          <w:tab w:val="right" w:pos="9360"/>
        </w:tabs>
      </w:pPr>
    </w:p>
    <w:p w14:paraId="35BC15EA" w14:textId="77777777" w:rsidR="008423E4" w:rsidRDefault="008423E4" w:rsidP="00162608"/>
    <w:p w14:paraId="0BA185C8" w14:textId="77777777" w:rsidR="008423E4" w:rsidRDefault="008423E4" w:rsidP="0016260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439A" w14:paraId="02C37D5A" w14:textId="77777777" w:rsidTr="00162608">
        <w:tc>
          <w:tcPr>
            <w:tcW w:w="9360" w:type="dxa"/>
          </w:tcPr>
          <w:p w14:paraId="4E95FFFB" w14:textId="77777777" w:rsidR="008423E4" w:rsidRPr="00A8133F" w:rsidRDefault="00EB0040" w:rsidP="001626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B8A0E1B" w14:textId="77777777" w:rsidR="008423E4" w:rsidRDefault="008423E4" w:rsidP="00162608"/>
          <w:p w14:paraId="454E2448" w14:textId="5576685B" w:rsidR="003A0B4E" w:rsidRDefault="00EB0040" w:rsidP="00162608">
            <w:pPr>
              <w:jc w:val="both"/>
              <w:rPr>
                <w:bCs/>
              </w:rPr>
            </w:pPr>
            <w:r>
              <w:rPr>
                <w:bCs/>
              </w:rPr>
              <w:t xml:space="preserve">In order to avoid subsidence from the excessive pumping of groundwater in western Harris County, the West Harris County Regional Water Authority engaged in the construction of a pipeline to bring surface water to the area from Lake Houston. </w:t>
            </w:r>
            <w:r w:rsidR="00A518DD">
              <w:rPr>
                <w:bCs/>
              </w:rPr>
              <w:t>The brunt of the bond repayment relating to the project is born</w:t>
            </w:r>
            <w:r w:rsidR="005D3CDC">
              <w:rPr>
                <w:bCs/>
              </w:rPr>
              <w:t>e</w:t>
            </w:r>
            <w:r w:rsidR="00A518DD">
              <w:rPr>
                <w:bCs/>
              </w:rPr>
              <w:t xml:space="preserve"> by current resident</w:t>
            </w:r>
            <w:r w:rsidR="005D3CDC">
              <w:rPr>
                <w:bCs/>
              </w:rPr>
              <w:t>s</w:t>
            </w:r>
            <w:r w:rsidR="00A518DD">
              <w:rPr>
                <w:bCs/>
              </w:rPr>
              <w:t>, d</w:t>
            </w:r>
            <w:r w:rsidR="005D3CDC">
              <w:rPr>
                <w:bCs/>
              </w:rPr>
              <w:t xml:space="preserve">espite </w:t>
            </w:r>
            <w:r>
              <w:rPr>
                <w:bCs/>
              </w:rPr>
              <w:t xml:space="preserve">the </w:t>
            </w:r>
            <w:r w:rsidR="005D3CDC">
              <w:rPr>
                <w:bCs/>
              </w:rPr>
              <w:t xml:space="preserve">fact that the </w:t>
            </w:r>
            <w:r>
              <w:rPr>
                <w:bCs/>
              </w:rPr>
              <w:t xml:space="preserve">pipeline </w:t>
            </w:r>
            <w:r w:rsidR="00546670">
              <w:rPr>
                <w:bCs/>
              </w:rPr>
              <w:t xml:space="preserve">will </w:t>
            </w:r>
            <w:r>
              <w:rPr>
                <w:bCs/>
              </w:rPr>
              <w:t>likely be in the ground for centuries and that much of the need for the pipeline is due to future growth. Since the calculations for determining</w:t>
            </w:r>
            <w:r>
              <w:rPr>
                <w:bCs/>
              </w:rPr>
              <w:t xml:space="preserve"> charges </w:t>
            </w:r>
            <w:r w:rsidR="009F1DBB">
              <w:rPr>
                <w:bCs/>
              </w:rPr>
              <w:t>are</w:t>
            </w:r>
            <w:r>
              <w:rPr>
                <w:bCs/>
              </w:rPr>
              <w:t xml:space="preserve"> based on current pumpage, owners of open land that will soon host thousands of homes are not being charged any fee. The West Harris County Regional Water Authority has </w:t>
            </w:r>
            <w:r w:rsidR="005D3CDC">
              <w:rPr>
                <w:bCs/>
              </w:rPr>
              <w:t>not demonstrated</w:t>
            </w:r>
            <w:r>
              <w:rPr>
                <w:bCs/>
              </w:rPr>
              <w:t xml:space="preserve"> interest in finding a way to make the repayment more equit</w:t>
            </w:r>
            <w:r>
              <w:rPr>
                <w:bCs/>
              </w:rPr>
              <w:t>able, and more affordable to current residents, by spreading out the payments over a longer period of time, commensurate with the useful life of the project and the projected growth of future ratepayers.</w:t>
            </w:r>
          </w:p>
          <w:p w14:paraId="61D2AEED" w14:textId="77777777" w:rsidR="003A0B4E" w:rsidRDefault="003A0B4E" w:rsidP="00162608">
            <w:pPr>
              <w:jc w:val="both"/>
              <w:rPr>
                <w:bCs/>
              </w:rPr>
            </w:pPr>
          </w:p>
          <w:p w14:paraId="2A4C1E6A" w14:textId="0116F50A" w:rsidR="008423E4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Cs/>
              </w:rPr>
              <w:t>C.S.</w:t>
            </w:r>
            <w:r w:rsidR="003A0B4E">
              <w:rPr>
                <w:bCs/>
              </w:rPr>
              <w:t>H</w:t>
            </w:r>
            <w:r w:rsidR="000C3B40">
              <w:rPr>
                <w:bCs/>
              </w:rPr>
              <w:t>.</w:t>
            </w:r>
            <w:r w:rsidR="003A0B4E">
              <w:rPr>
                <w:bCs/>
              </w:rPr>
              <w:t>B</w:t>
            </w:r>
            <w:r w:rsidR="000C3B40">
              <w:rPr>
                <w:bCs/>
              </w:rPr>
              <w:t>.</w:t>
            </w:r>
            <w:r w:rsidR="003A0B4E">
              <w:rPr>
                <w:bCs/>
              </w:rPr>
              <w:t xml:space="preserve"> 4659 </w:t>
            </w:r>
            <w:r w:rsidR="000C3B40">
              <w:rPr>
                <w:bCs/>
              </w:rPr>
              <w:t>seeks to form a working group, composed of representatives of</w:t>
            </w:r>
            <w:r w:rsidR="003A0B4E">
              <w:rPr>
                <w:bCs/>
              </w:rPr>
              <w:t xml:space="preserve"> the state</w:t>
            </w:r>
            <w:r w:rsidR="007107B3">
              <w:rPr>
                <w:bCs/>
              </w:rPr>
              <w:t>'</w:t>
            </w:r>
            <w:r w:rsidR="003A0B4E">
              <w:rPr>
                <w:bCs/>
              </w:rPr>
              <w:t xml:space="preserve">s two agencies with expertise in bonded indebtedness, the Texas </w:t>
            </w:r>
            <w:r w:rsidR="00546670">
              <w:rPr>
                <w:bCs/>
              </w:rPr>
              <w:t xml:space="preserve">Public </w:t>
            </w:r>
            <w:r w:rsidR="003A0B4E">
              <w:rPr>
                <w:bCs/>
              </w:rPr>
              <w:t xml:space="preserve">Finance Authority and the Texas Water Development Board, with </w:t>
            </w:r>
            <w:r w:rsidR="009D06C9">
              <w:rPr>
                <w:bCs/>
              </w:rPr>
              <w:t xml:space="preserve">authorized participation from </w:t>
            </w:r>
            <w:r w:rsidR="009F1DBB">
              <w:rPr>
                <w:bCs/>
              </w:rPr>
              <w:t xml:space="preserve">representatives of </w:t>
            </w:r>
            <w:r w:rsidR="003A0B4E">
              <w:rPr>
                <w:bCs/>
              </w:rPr>
              <w:t xml:space="preserve">local governments </w:t>
            </w:r>
            <w:r w:rsidR="009F1DBB">
              <w:rPr>
                <w:bCs/>
              </w:rPr>
              <w:t>of</w:t>
            </w:r>
            <w:r w:rsidR="00546670">
              <w:rPr>
                <w:bCs/>
              </w:rPr>
              <w:t xml:space="preserve"> </w:t>
            </w:r>
            <w:r w:rsidR="00546670" w:rsidRPr="000B675E">
              <w:t xml:space="preserve">Harris and Fort Bend </w:t>
            </w:r>
            <w:r w:rsidR="006902B3">
              <w:t>C</w:t>
            </w:r>
            <w:r w:rsidR="00546670" w:rsidRPr="000B675E">
              <w:t>ounties</w:t>
            </w:r>
            <w:r w:rsidR="003A0B4E">
              <w:rPr>
                <w:bCs/>
              </w:rPr>
              <w:t xml:space="preserve">, to </w:t>
            </w:r>
            <w:r w:rsidR="000C3B40">
              <w:rPr>
                <w:bCs/>
              </w:rPr>
              <w:t xml:space="preserve">study, </w:t>
            </w:r>
            <w:r w:rsidR="003A0B4E">
              <w:rPr>
                <w:bCs/>
              </w:rPr>
              <w:t>review</w:t>
            </w:r>
            <w:r w:rsidR="000C3B40">
              <w:rPr>
                <w:bCs/>
              </w:rPr>
              <w:t>, and report</w:t>
            </w:r>
            <w:r w:rsidR="003A0B4E">
              <w:rPr>
                <w:bCs/>
              </w:rPr>
              <w:t xml:space="preserve"> </w:t>
            </w:r>
            <w:r w:rsidR="000C3B40">
              <w:rPr>
                <w:bCs/>
              </w:rPr>
              <w:t xml:space="preserve">on the </w:t>
            </w:r>
            <w:r w:rsidR="003A0B4E">
              <w:rPr>
                <w:bCs/>
              </w:rPr>
              <w:t xml:space="preserve">methods </w:t>
            </w:r>
            <w:r w:rsidR="009F1DBB">
              <w:t xml:space="preserve">used to </w:t>
            </w:r>
            <w:r w:rsidR="009F1DBB" w:rsidRPr="000B675E">
              <w:t>financ</w:t>
            </w:r>
            <w:r w:rsidR="009F1DBB">
              <w:t>e</w:t>
            </w:r>
            <w:r w:rsidR="009F1DBB" w:rsidRPr="000B675E">
              <w:t xml:space="preserve"> or refinanc</w:t>
            </w:r>
            <w:r w:rsidR="009F1DBB">
              <w:t>e</w:t>
            </w:r>
            <w:r w:rsidR="009F1DBB" w:rsidRPr="000B675E">
              <w:t xml:space="preserve"> regional water facilities </w:t>
            </w:r>
            <w:r w:rsidR="009F1DBB">
              <w:t>that</w:t>
            </w:r>
            <w:r w:rsidR="009F1DBB" w:rsidRPr="000B675E">
              <w:t xml:space="preserve"> convert groundwater to surface water</w:t>
            </w:r>
            <w:r w:rsidR="003A0B4E">
              <w:rPr>
                <w:bCs/>
              </w:rPr>
              <w:t>, taking into account several factors</w:t>
            </w:r>
            <w:r w:rsidR="000C3B40">
              <w:rPr>
                <w:bCs/>
              </w:rPr>
              <w:t>,</w:t>
            </w:r>
            <w:r w:rsidR="003A0B4E">
              <w:rPr>
                <w:bCs/>
              </w:rPr>
              <w:t xml:space="preserve"> including the fairness and equity benefits to water users of extending the financing of </w:t>
            </w:r>
            <w:r w:rsidR="009F1DBB">
              <w:rPr>
                <w:bCs/>
              </w:rPr>
              <w:t>such a facility</w:t>
            </w:r>
            <w:r w:rsidR="003A0B4E">
              <w:rPr>
                <w:bCs/>
              </w:rPr>
              <w:t>.</w:t>
            </w:r>
            <w:r w:rsidR="000C3B40">
              <w:rPr>
                <w:bCs/>
              </w:rPr>
              <w:t xml:space="preserve"> The bill requires t</w:t>
            </w:r>
            <w:r w:rsidR="003A0B4E">
              <w:rPr>
                <w:bCs/>
              </w:rPr>
              <w:t xml:space="preserve">he working group </w:t>
            </w:r>
            <w:r w:rsidR="000C3B40">
              <w:rPr>
                <w:bCs/>
              </w:rPr>
              <w:t xml:space="preserve">to </w:t>
            </w:r>
            <w:r w:rsidR="003A0B4E">
              <w:rPr>
                <w:bCs/>
              </w:rPr>
              <w:t>report its findings no</w:t>
            </w:r>
            <w:r w:rsidR="000C3B40">
              <w:rPr>
                <w:bCs/>
              </w:rPr>
              <w:t>t</w:t>
            </w:r>
            <w:r w:rsidR="003A0B4E">
              <w:rPr>
                <w:bCs/>
              </w:rPr>
              <w:t xml:space="preserve"> later than September 1, 2024.</w:t>
            </w:r>
          </w:p>
          <w:p w14:paraId="4537A50B" w14:textId="77777777" w:rsidR="008423E4" w:rsidRPr="00E26B13" w:rsidRDefault="008423E4" w:rsidP="00162608">
            <w:pPr>
              <w:rPr>
                <w:b/>
              </w:rPr>
            </w:pPr>
          </w:p>
        </w:tc>
      </w:tr>
      <w:tr w:rsidR="0055439A" w14:paraId="73C334EE" w14:textId="77777777" w:rsidTr="00162608">
        <w:tc>
          <w:tcPr>
            <w:tcW w:w="9360" w:type="dxa"/>
          </w:tcPr>
          <w:p w14:paraId="20AC9DD2" w14:textId="77777777" w:rsidR="0017725B" w:rsidRDefault="00EB0040" w:rsidP="001626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2F36A5" w14:textId="77777777" w:rsidR="0017725B" w:rsidRDefault="0017725B" w:rsidP="00162608">
            <w:pPr>
              <w:rPr>
                <w:b/>
                <w:u w:val="single"/>
              </w:rPr>
            </w:pPr>
          </w:p>
          <w:p w14:paraId="7D0B6B4D" w14:textId="3A2062BB" w:rsidR="0001562C" w:rsidRPr="0001562C" w:rsidRDefault="00EB0040" w:rsidP="00162608">
            <w:pPr>
              <w:jc w:val="both"/>
            </w:pPr>
            <w:r>
              <w:t>It is the committee's opinion that this bill does not expressly create a crim</w:t>
            </w:r>
            <w:r>
              <w:t>inal offense, increase the punishment for an existing criminal offense or category of offenses, or change the eligibility of a person for community supervision, parole, or mandatory supervision.</w:t>
            </w:r>
          </w:p>
          <w:p w14:paraId="70687E53" w14:textId="77777777" w:rsidR="0017725B" w:rsidRPr="0017725B" w:rsidRDefault="0017725B" w:rsidP="00162608">
            <w:pPr>
              <w:rPr>
                <w:b/>
                <w:u w:val="single"/>
              </w:rPr>
            </w:pPr>
          </w:p>
        </w:tc>
      </w:tr>
      <w:tr w:rsidR="0055439A" w14:paraId="1595340D" w14:textId="77777777" w:rsidTr="00162608">
        <w:tc>
          <w:tcPr>
            <w:tcW w:w="9360" w:type="dxa"/>
          </w:tcPr>
          <w:p w14:paraId="22D27531" w14:textId="77777777" w:rsidR="008423E4" w:rsidRPr="00A8133F" w:rsidRDefault="00EB0040" w:rsidP="001626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E68D79" w14:textId="77777777" w:rsidR="008423E4" w:rsidRDefault="008423E4" w:rsidP="00162608"/>
          <w:p w14:paraId="6683AECB" w14:textId="64D58DF1" w:rsidR="0001562C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</w:t>
            </w:r>
            <w:r>
              <w:t>his bill does not expressly grant any additional rulemaking authority to a state officer, department, agency, or institution.</w:t>
            </w:r>
          </w:p>
          <w:p w14:paraId="1EC8BA06" w14:textId="77777777" w:rsidR="008423E4" w:rsidRPr="00E21FDC" w:rsidRDefault="008423E4" w:rsidP="00162608">
            <w:pPr>
              <w:rPr>
                <w:b/>
              </w:rPr>
            </w:pPr>
          </w:p>
        </w:tc>
      </w:tr>
      <w:tr w:rsidR="0055439A" w14:paraId="65721C0F" w14:textId="77777777" w:rsidTr="00162608">
        <w:tc>
          <w:tcPr>
            <w:tcW w:w="9360" w:type="dxa"/>
          </w:tcPr>
          <w:p w14:paraId="17FA8F39" w14:textId="77777777" w:rsidR="008423E4" w:rsidRPr="00A8133F" w:rsidRDefault="00EB0040" w:rsidP="001626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552F8A" w14:textId="77777777" w:rsidR="008423E4" w:rsidRDefault="008423E4" w:rsidP="00162608"/>
          <w:p w14:paraId="190D6C98" w14:textId="47F02FCB" w:rsidR="009C36CD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063B9">
              <w:t xml:space="preserve">H.B. 4659 </w:t>
            </w:r>
            <w:r w:rsidR="008B5E41">
              <w:t xml:space="preserve">forms </w:t>
            </w:r>
            <w:r w:rsidR="000B675E">
              <w:t xml:space="preserve">a </w:t>
            </w:r>
            <w:r w:rsidR="000B675E" w:rsidRPr="000B675E">
              <w:t>working group to study, review, and report to the legislature</w:t>
            </w:r>
            <w:r w:rsidR="00CF12DC">
              <w:t xml:space="preserve"> </w:t>
            </w:r>
            <w:r w:rsidR="000B675E" w:rsidRPr="000B675E">
              <w:t xml:space="preserve">on the methods </w:t>
            </w:r>
            <w:r w:rsidR="00B86A29">
              <w:t xml:space="preserve">used to </w:t>
            </w:r>
            <w:r w:rsidR="000B675E" w:rsidRPr="000B675E">
              <w:t>financ</w:t>
            </w:r>
            <w:r w:rsidR="00B86A29">
              <w:t>e</w:t>
            </w:r>
            <w:r w:rsidR="000B675E" w:rsidRPr="000B675E">
              <w:t xml:space="preserve"> or refinanc</w:t>
            </w:r>
            <w:r w:rsidR="00B86A29">
              <w:t>e</w:t>
            </w:r>
            <w:r w:rsidR="000B675E" w:rsidRPr="000B675E">
              <w:t xml:space="preserve"> regional water facilities </w:t>
            </w:r>
            <w:r w:rsidR="00B86A29">
              <w:t>that</w:t>
            </w:r>
            <w:r w:rsidR="000B675E" w:rsidRPr="000B675E">
              <w:t xml:space="preserve"> convert groundwater to surface water.</w:t>
            </w:r>
            <w:r w:rsidR="000B675E">
              <w:t xml:space="preserve"> The bill establishes the composition of </w:t>
            </w:r>
            <w:r w:rsidR="008B5E41">
              <w:t xml:space="preserve">the working group to include </w:t>
            </w:r>
            <w:r w:rsidR="000B675E" w:rsidRPr="000B675E">
              <w:t>representatives of the Texas Water Development Board</w:t>
            </w:r>
            <w:r w:rsidR="008B5E41">
              <w:t xml:space="preserve"> (TWDB)</w:t>
            </w:r>
            <w:r w:rsidR="00A738B7">
              <w:t xml:space="preserve"> and</w:t>
            </w:r>
            <w:r w:rsidR="000B675E" w:rsidRPr="000B675E">
              <w:t xml:space="preserve"> the Texas Public Finance Authority and </w:t>
            </w:r>
            <w:r w:rsidR="00AF133E">
              <w:t>authorizes the</w:t>
            </w:r>
            <w:r w:rsidR="00B87E4B">
              <w:t xml:space="preserve"> working</w:t>
            </w:r>
            <w:r w:rsidR="00AF133E">
              <w:t xml:space="preserve"> </w:t>
            </w:r>
            <w:r w:rsidR="00B86A29">
              <w:t>group</w:t>
            </w:r>
            <w:r w:rsidR="00AF133E">
              <w:t xml:space="preserve"> to include </w:t>
            </w:r>
            <w:r w:rsidR="00D711CC">
              <w:t>representative</w:t>
            </w:r>
            <w:r w:rsidR="009F1DBB">
              <w:t>s</w:t>
            </w:r>
            <w:r w:rsidR="00D711CC">
              <w:t xml:space="preserve"> of</w:t>
            </w:r>
            <w:r w:rsidR="000B675E" w:rsidRPr="000B675E">
              <w:t xml:space="preserve"> local governments </w:t>
            </w:r>
            <w:r w:rsidR="00D711CC">
              <w:t>of</w:t>
            </w:r>
            <w:r w:rsidR="000B675E" w:rsidRPr="000B675E">
              <w:t xml:space="preserve"> Harris and Fort Bend </w:t>
            </w:r>
            <w:r w:rsidR="00F14AB1">
              <w:t>C</w:t>
            </w:r>
            <w:r w:rsidR="000B675E" w:rsidRPr="000B675E">
              <w:t xml:space="preserve">ounties that have borrowed money from the </w:t>
            </w:r>
            <w:r w:rsidR="008B5E41">
              <w:t>TWDB</w:t>
            </w:r>
            <w:r w:rsidR="00AF133E">
              <w:t xml:space="preserve"> for a </w:t>
            </w:r>
            <w:r w:rsidR="00AF133E" w:rsidRPr="00AF133E">
              <w:t>regional water facility that converts groundwater to surface water</w:t>
            </w:r>
            <w:r w:rsidR="000B675E" w:rsidRPr="000B675E">
              <w:t xml:space="preserve">. </w:t>
            </w:r>
            <w:r w:rsidR="000B675E">
              <w:t xml:space="preserve">The bill </w:t>
            </w:r>
            <w:r w:rsidR="006D148B">
              <w:t xml:space="preserve">requires the </w:t>
            </w:r>
            <w:r w:rsidR="006D148B" w:rsidRPr="006D148B">
              <w:t xml:space="preserve">chair of the </w:t>
            </w:r>
            <w:r w:rsidR="008B5E41">
              <w:t>TWDB</w:t>
            </w:r>
            <w:r w:rsidR="006D148B" w:rsidRPr="006D148B">
              <w:t xml:space="preserve">, or </w:t>
            </w:r>
            <w:r w:rsidR="00A759AD">
              <w:t>the chair's</w:t>
            </w:r>
            <w:r w:rsidR="00A759AD" w:rsidRPr="006D148B">
              <w:t xml:space="preserve"> </w:t>
            </w:r>
            <w:r w:rsidR="006D148B" w:rsidRPr="006D148B">
              <w:t xml:space="preserve">designee, </w:t>
            </w:r>
            <w:r w:rsidR="006D148B">
              <w:t>to</w:t>
            </w:r>
            <w:r w:rsidR="006D148B" w:rsidRPr="006D148B">
              <w:t xml:space="preserve"> serve as chair of the working group</w:t>
            </w:r>
            <w:r w:rsidR="006D148B">
              <w:t xml:space="preserve"> with the</w:t>
            </w:r>
            <w:r w:rsidR="006D148B" w:rsidRPr="006D148B">
              <w:t xml:space="preserve"> working group conveni</w:t>
            </w:r>
            <w:r w:rsidR="006D148B">
              <w:t>ng</w:t>
            </w:r>
            <w:r w:rsidR="006D148B" w:rsidRPr="006D148B">
              <w:t xml:space="preserve"> at the call of the chair.</w:t>
            </w:r>
            <w:r w:rsidR="006D148B">
              <w:t xml:space="preserve"> </w:t>
            </w:r>
          </w:p>
          <w:p w14:paraId="5FEF90F8" w14:textId="049953F0" w:rsidR="006D148B" w:rsidRDefault="006D148B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35C980" w14:textId="7DBB970E" w:rsidR="006D148B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4659 requires the </w:t>
            </w:r>
            <w:r w:rsidRPr="006D148B">
              <w:t>working grou</w:t>
            </w:r>
            <w:r>
              <w:t>p to study the following</w:t>
            </w:r>
            <w:r w:rsidR="00B2457D">
              <w:t xml:space="preserve"> with respect to a regional water facility that converts groundwater to surface water</w:t>
            </w:r>
            <w:r>
              <w:t>:</w:t>
            </w:r>
          </w:p>
          <w:p w14:paraId="135291E6" w14:textId="2902FB74" w:rsidR="006D148B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useful life of </w:t>
            </w:r>
            <w:r w:rsidR="00B2457D">
              <w:t>such</w:t>
            </w:r>
            <w:r w:rsidR="00D711CC">
              <w:t xml:space="preserve"> </w:t>
            </w:r>
            <w:r>
              <w:t>facilities</w:t>
            </w:r>
            <w:r w:rsidR="00AF133E">
              <w:t xml:space="preserve">, </w:t>
            </w:r>
            <w:r w:rsidR="00AF133E" w:rsidRPr="00AF133E">
              <w:t>including associated improvements during a facility's useful life</w:t>
            </w:r>
            <w:r>
              <w:t>;</w:t>
            </w:r>
          </w:p>
          <w:p w14:paraId="4C50D29F" w14:textId="332D91EA" w:rsidR="006D148B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3D462D">
              <w:t>typical</w:t>
            </w:r>
            <w:r>
              <w:t xml:space="preserve"> period of time </w:t>
            </w:r>
            <w:r w:rsidR="003D462D">
              <w:t xml:space="preserve">necessary to pay </w:t>
            </w:r>
            <w:r>
              <w:t>the cost</w:t>
            </w:r>
            <w:r w:rsidR="003D462D">
              <w:t>s associated with developing a financed</w:t>
            </w:r>
            <w:r>
              <w:t xml:space="preserve"> facilit</w:t>
            </w:r>
            <w:r w:rsidR="003D462D">
              <w:t>y</w:t>
            </w:r>
            <w:r>
              <w:t>;</w:t>
            </w:r>
          </w:p>
          <w:p w14:paraId="2C02D35F" w14:textId="5F7E4040" w:rsidR="006D148B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economic </w:t>
            </w:r>
            <w:r w:rsidR="003D462D">
              <w:t>effect on</w:t>
            </w:r>
            <w:r>
              <w:t xml:space="preserve"> current water users paying the cost of </w:t>
            </w:r>
            <w:r w:rsidR="003D462D">
              <w:t xml:space="preserve">a </w:t>
            </w:r>
            <w:r>
              <w:t>facilit</w:t>
            </w:r>
            <w:r w:rsidR="003D462D">
              <w:t>y</w:t>
            </w:r>
            <w:r>
              <w:t xml:space="preserve"> that will provide service </w:t>
            </w:r>
            <w:r w:rsidR="003D462D">
              <w:t>to</w:t>
            </w:r>
            <w:r>
              <w:t xml:space="preserve"> future water users;</w:t>
            </w:r>
          </w:p>
          <w:p w14:paraId="07B2F436" w14:textId="0973AEB2" w:rsidR="006D148B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</w:t>
            </w:r>
            <w:r w:rsidR="003D462D">
              <w:t xml:space="preserve"> financing</w:t>
            </w:r>
            <w:r>
              <w:t xml:space="preserve"> terms of current and anticipated facilities;</w:t>
            </w:r>
          </w:p>
          <w:p w14:paraId="3D126124" w14:textId="0A5CFE8D" w:rsidR="006D148B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 w:rsidRPr="003D13B2">
              <w:t>the ability to distribute the costs associated with the development of a fa</w:t>
            </w:r>
            <w:r w:rsidRPr="003D13B2">
              <w:t>cility to the users who benefit from the facility, including</w:t>
            </w:r>
            <w:r>
              <w:t xml:space="preserve"> the following</w:t>
            </w:r>
            <w:r w:rsidRPr="003D13B2">
              <w:t>:</w:t>
            </w:r>
          </w:p>
          <w:p w14:paraId="11822A24" w14:textId="3E6CA213" w:rsidR="006D148B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fairness and equity benefits to water users of exten</w:t>
            </w:r>
            <w:r w:rsidR="003D462D">
              <w:t>ding</w:t>
            </w:r>
            <w:r w:rsidR="00CE108D">
              <w:t xml:space="preserve"> the</w:t>
            </w:r>
            <w:r>
              <w:t xml:space="preserve"> </w:t>
            </w:r>
            <w:r w:rsidR="003D13B2">
              <w:t xml:space="preserve">financing </w:t>
            </w:r>
            <w:r w:rsidR="003D13B2" w:rsidRPr="003D13B2">
              <w:t xml:space="preserve">of a facility </w:t>
            </w:r>
            <w:r>
              <w:t>compared to the potential increase in financing costs</w:t>
            </w:r>
            <w:r w:rsidR="003D13B2">
              <w:t xml:space="preserve"> </w:t>
            </w:r>
            <w:r w:rsidR="003D13B2" w:rsidRPr="003D13B2">
              <w:t>associated with an extension of financing</w:t>
            </w:r>
            <w:r>
              <w:t>;</w:t>
            </w:r>
          </w:p>
          <w:p w14:paraId="3DDB66AA" w14:textId="1378D9FC" w:rsidR="00B87E4B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 w:rsidRPr="003D13B2">
              <w:t>the ability to use methods of financing or refinancing to accomplish this distribution</w:t>
            </w:r>
            <w:r w:rsidR="006D148B">
              <w:t>;</w:t>
            </w:r>
            <w:r>
              <w:t xml:space="preserve"> </w:t>
            </w:r>
          </w:p>
          <w:p w14:paraId="44B54059" w14:textId="13BEB249" w:rsidR="00165DFA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 w:rsidRPr="00B87E4B">
              <w:t>policies and procedures of th</w:t>
            </w:r>
            <w:r>
              <w:t>e</w:t>
            </w:r>
            <w:r w:rsidRPr="00B87E4B">
              <w:t xml:space="preserve"> state and the </w:t>
            </w:r>
            <w:r>
              <w:t>TWDB</w:t>
            </w:r>
            <w:r w:rsidRPr="00B87E4B">
              <w:t xml:space="preserve"> that may be used to accomplish this distribution;</w:t>
            </w:r>
          </w:p>
          <w:p w14:paraId="1D2D5DA5" w14:textId="21E3FE9F" w:rsidR="00165DFA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whether the </w:t>
            </w:r>
            <w:r w:rsidR="00CD48B4">
              <w:t>TWDB's</w:t>
            </w:r>
            <w:r>
              <w:t xml:space="preserve"> financing terms and conditions can be impr</w:t>
            </w:r>
            <w:r>
              <w:t xml:space="preserve">oved to better accomplish </w:t>
            </w:r>
            <w:r w:rsidR="00CE108D">
              <w:t>this</w:t>
            </w:r>
            <w:r>
              <w:t xml:space="preserve"> distribution, </w:t>
            </w:r>
            <w:r w:rsidRPr="00165DFA">
              <w:t>including whether</w:t>
            </w:r>
            <w:r w:rsidR="00CE108D">
              <w:t xml:space="preserve"> the</w:t>
            </w:r>
            <w:r w:rsidRPr="00165DFA">
              <w:t xml:space="preserve"> </w:t>
            </w:r>
            <w:r w:rsidR="00CE108D">
              <w:t>TWDB</w:t>
            </w:r>
            <w:r w:rsidRPr="00165DFA">
              <w:t xml:space="preserve"> may forgive a loan or a portion of a loan to better accomplish this distribution</w:t>
            </w:r>
            <w:r>
              <w:t>;</w:t>
            </w:r>
          </w:p>
          <w:p w14:paraId="29868F54" w14:textId="77777777" w:rsidR="00165DFA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whether potential measures that could accomplish this distribution are precluded by state law; and</w:t>
            </w:r>
          </w:p>
          <w:p w14:paraId="19B58019" w14:textId="548E6797" w:rsidR="006D148B" w:rsidRDefault="00EB0040" w:rsidP="00162608">
            <w:pPr>
              <w:pStyle w:val="Header"/>
              <w:numPr>
                <w:ilvl w:val="1"/>
                <w:numId w:val="1"/>
              </w:numPr>
              <w:jc w:val="both"/>
            </w:pPr>
            <w:r>
              <w:t>wha</w:t>
            </w:r>
            <w:r>
              <w:t xml:space="preserve">t changes to state law may be necessary to accomplish this distribution; </w:t>
            </w:r>
          </w:p>
          <w:p w14:paraId="664E62BF" w14:textId="012E159F" w:rsidR="00165DFA" w:rsidRDefault="00EB0040" w:rsidP="0016260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whether financial assistance administered by the </w:t>
            </w:r>
            <w:r w:rsidR="006B605D">
              <w:t>TWDB</w:t>
            </w:r>
            <w:r>
              <w:t xml:space="preserve"> may be used to refinance or restructure existing financing of a facility; and</w:t>
            </w:r>
          </w:p>
          <w:p w14:paraId="40449BF0" w14:textId="535ED833" w:rsidR="006D148B" w:rsidRDefault="00EB0040" w:rsidP="0016260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whether a facility is eligible for grant </w:t>
            </w:r>
            <w:r>
              <w:t>funding.</w:t>
            </w:r>
          </w:p>
          <w:p w14:paraId="2C90CAEB" w14:textId="77777777" w:rsidR="00B2457D" w:rsidRDefault="00B2457D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848332" w14:textId="0F10F125" w:rsidR="006D148B" w:rsidRPr="009C36CD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4659</w:t>
            </w:r>
            <w:r w:rsidR="00165DFA">
              <w:t xml:space="preserve"> requires the working group to recommend </w:t>
            </w:r>
            <w:r w:rsidR="00165DFA" w:rsidRPr="00165DFA">
              <w:t xml:space="preserve">any changes and improvements relating to the financing of regional facilities that convert groundwater to surface water that may be implemented by </w:t>
            </w:r>
            <w:r w:rsidR="00A738B7">
              <w:t>the state</w:t>
            </w:r>
            <w:r w:rsidR="00165DFA" w:rsidRPr="00165DFA">
              <w:t xml:space="preserve">, the </w:t>
            </w:r>
            <w:r w:rsidR="006B605D">
              <w:t>TWDB</w:t>
            </w:r>
            <w:r w:rsidR="00165DFA" w:rsidRPr="00165DFA">
              <w:t>, or another state agency without further legislative authorization.</w:t>
            </w:r>
            <w:r w:rsidR="00165DFA">
              <w:t xml:space="preserve"> </w:t>
            </w:r>
            <w:r w:rsidR="008E251B">
              <w:t>The bill requires the working group to report its findings and recommendations to the lieutenant governor, speaker of the house of representatives, and the governor</w:t>
            </w:r>
            <w:r w:rsidR="00CF12DC">
              <w:t xml:space="preserve"> not later than </w:t>
            </w:r>
            <w:r w:rsidR="00CF12DC" w:rsidRPr="003C38C9">
              <w:t>September 1, 2024</w:t>
            </w:r>
            <w:r w:rsidR="008E251B">
              <w:t>.</w:t>
            </w:r>
            <w:r w:rsidR="00165DFA">
              <w:t xml:space="preserve"> The bill authorizes a</w:t>
            </w:r>
            <w:r w:rsidR="00165DFA" w:rsidRPr="006D148B">
              <w:t xml:space="preserve"> member of the </w:t>
            </w:r>
            <w:r w:rsidR="00CE108D">
              <w:t>h</w:t>
            </w:r>
            <w:r w:rsidR="00165DFA" w:rsidRPr="006D148B">
              <w:t xml:space="preserve">ouse or </w:t>
            </w:r>
            <w:r w:rsidR="00CE108D">
              <w:t>the s</w:t>
            </w:r>
            <w:r w:rsidR="00165DFA" w:rsidRPr="006D148B">
              <w:t xml:space="preserve">enate </w:t>
            </w:r>
            <w:r w:rsidR="00165DFA">
              <w:t>to</w:t>
            </w:r>
            <w:r w:rsidR="00165DFA" w:rsidRPr="006D148B">
              <w:t xml:space="preserve"> request to be kept informed of the working group's progress</w:t>
            </w:r>
            <w:r w:rsidR="00CE108D">
              <w:t xml:space="preserve"> throughout the duration of the study</w:t>
            </w:r>
            <w:r w:rsidR="00165DFA" w:rsidRPr="006D148B">
              <w:t>.</w:t>
            </w:r>
            <w:r w:rsidR="008E251B">
              <w:t xml:space="preserve"> The bill's provisions</w:t>
            </w:r>
            <w:r w:rsidR="0001562C">
              <w:t xml:space="preserve"> expire </w:t>
            </w:r>
            <w:r w:rsidR="0001562C" w:rsidRPr="0001562C">
              <w:t>September 1, 2025.</w:t>
            </w:r>
          </w:p>
          <w:p w14:paraId="330BC42F" w14:textId="77777777" w:rsidR="008423E4" w:rsidRPr="00835628" w:rsidRDefault="008423E4" w:rsidP="00162608">
            <w:pPr>
              <w:rPr>
                <w:b/>
              </w:rPr>
            </w:pPr>
          </w:p>
        </w:tc>
      </w:tr>
      <w:tr w:rsidR="0055439A" w14:paraId="4C219773" w14:textId="77777777" w:rsidTr="00162608">
        <w:tc>
          <w:tcPr>
            <w:tcW w:w="9360" w:type="dxa"/>
          </w:tcPr>
          <w:p w14:paraId="65AB553F" w14:textId="77777777" w:rsidR="008423E4" w:rsidRPr="00A8133F" w:rsidRDefault="00EB0040" w:rsidP="001626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F23E01" w14:textId="77777777" w:rsidR="008423E4" w:rsidRDefault="008423E4" w:rsidP="00162608"/>
          <w:p w14:paraId="0041B0B1" w14:textId="7710D6CD" w:rsidR="008423E4" w:rsidRPr="003624F2" w:rsidRDefault="00EB0040" w:rsidP="001626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</w:t>
            </w:r>
            <w:r>
              <w:t>ceive the necessary vote, September 1, 2023.</w:t>
            </w:r>
          </w:p>
          <w:p w14:paraId="73242162" w14:textId="77777777" w:rsidR="008423E4" w:rsidRPr="00233FDB" w:rsidRDefault="008423E4" w:rsidP="00162608">
            <w:pPr>
              <w:rPr>
                <w:b/>
              </w:rPr>
            </w:pPr>
          </w:p>
        </w:tc>
      </w:tr>
      <w:tr w:rsidR="0055439A" w14:paraId="1AAFD444" w14:textId="77777777" w:rsidTr="00162608">
        <w:tc>
          <w:tcPr>
            <w:tcW w:w="9360" w:type="dxa"/>
          </w:tcPr>
          <w:p w14:paraId="08228957" w14:textId="77777777" w:rsidR="002C498B" w:rsidRDefault="00EB0040" w:rsidP="0016260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54605A1" w14:textId="77777777" w:rsidR="00783093" w:rsidRDefault="00783093" w:rsidP="00162608">
            <w:pPr>
              <w:jc w:val="both"/>
            </w:pPr>
          </w:p>
          <w:p w14:paraId="45382839" w14:textId="244441A3" w:rsidR="00783093" w:rsidRDefault="00EB0040" w:rsidP="00162608">
            <w:pPr>
              <w:jc w:val="both"/>
            </w:pPr>
            <w:r>
              <w:t>C.S.H.B. 4659 differs from the introduced in minor or nonsubstantive ways by conforming to certain bill drafting conventions.</w:t>
            </w:r>
          </w:p>
          <w:p w14:paraId="28853E32" w14:textId="77EF27B4" w:rsidR="00165DFA" w:rsidRPr="00165DFA" w:rsidRDefault="00165DFA" w:rsidP="00162608">
            <w:pPr>
              <w:jc w:val="both"/>
            </w:pPr>
          </w:p>
        </w:tc>
      </w:tr>
    </w:tbl>
    <w:p w14:paraId="3FBBFFC1" w14:textId="77777777" w:rsidR="008423E4" w:rsidRPr="00BE0E75" w:rsidRDefault="008423E4" w:rsidP="00162608">
      <w:pPr>
        <w:jc w:val="both"/>
        <w:rPr>
          <w:rFonts w:ascii="Arial" w:hAnsi="Arial"/>
          <w:sz w:val="16"/>
          <w:szCs w:val="16"/>
        </w:rPr>
      </w:pPr>
    </w:p>
    <w:p w14:paraId="2A4F54F3" w14:textId="77777777" w:rsidR="004108C3" w:rsidRPr="008423E4" w:rsidRDefault="004108C3" w:rsidP="0016260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BC3F" w14:textId="77777777" w:rsidR="00000000" w:rsidRDefault="00EB0040">
      <w:r>
        <w:separator/>
      </w:r>
    </w:p>
  </w:endnote>
  <w:endnote w:type="continuationSeparator" w:id="0">
    <w:p w14:paraId="3B636F80" w14:textId="77777777" w:rsidR="00000000" w:rsidRDefault="00E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1B0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439A" w14:paraId="1C0B4649" w14:textId="77777777" w:rsidTr="009C1E9A">
      <w:trPr>
        <w:cantSplit/>
      </w:trPr>
      <w:tc>
        <w:tcPr>
          <w:tcW w:w="0" w:type="pct"/>
        </w:tcPr>
        <w:p w14:paraId="0139B0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35E6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DCD8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582B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9C8E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439A" w14:paraId="70411944" w14:textId="77777777" w:rsidTr="009C1E9A">
      <w:trPr>
        <w:cantSplit/>
      </w:trPr>
      <w:tc>
        <w:tcPr>
          <w:tcW w:w="0" w:type="pct"/>
        </w:tcPr>
        <w:p w14:paraId="779428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D32F29" w14:textId="2C5B5527" w:rsidR="00EC379B" w:rsidRPr="009C1E9A" w:rsidRDefault="00EB00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26032-D</w:t>
          </w:r>
        </w:p>
      </w:tc>
      <w:tc>
        <w:tcPr>
          <w:tcW w:w="2453" w:type="pct"/>
        </w:tcPr>
        <w:p w14:paraId="05C4F6EA" w14:textId="41DC4C54" w:rsidR="00EC379B" w:rsidRDefault="00EB00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D3EEF">
            <w:t>23.117.273</w:t>
          </w:r>
          <w:r>
            <w:fldChar w:fldCharType="end"/>
          </w:r>
        </w:p>
      </w:tc>
    </w:tr>
    <w:tr w:rsidR="0055439A" w14:paraId="456E1C83" w14:textId="77777777" w:rsidTr="009C1E9A">
      <w:trPr>
        <w:cantSplit/>
      </w:trPr>
      <w:tc>
        <w:tcPr>
          <w:tcW w:w="0" w:type="pct"/>
        </w:tcPr>
        <w:p w14:paraId="0C7330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A1D4BC2" w14:textId="306786E9" w:rsidR="00EC379B" w:rsidRPr="009C1E9A" w:rsidRDefault="00EB00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18802</w:t>
          </w:r>
        </w:p>
      </w:tc>
      <w:tc>
        <w:tcPr>
          <w:tcW w:w="2453" w:type="pct"/>
        </w:tcPr>
        <w:p w14:paraId="10F01E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E049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439A" w14:paraId="43A86B6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48AABA" w14:textId="77777777" w:rsidR="00EC379B" w:rsidRDefault="00EB00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CA72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2E39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6B6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5EB4" w14:textId="77777777" w:rsidR="00000000" w:rsidRDefault="00EB0040">
      <w:r>
        <w:separator/>
      </w:r>
    </w:p>
  </w:footnote>
  <w:footnote w:type="continuationSeparator" w:id="0">
    <w:p w14:paraId="07DA8EF0" w14:textId="77777777" w:rsidR="00000000" w:rsidRDefault="00EB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882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519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A79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432"/>
    <w:multiLevelType w:val="hybridMultilevel"/>
    <w:tmpl w:val="05A264DE"/>
    <w:lvl w:ilvl="0" w:tplc="27BE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04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6E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6E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5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4C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61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D69"/>
    <w:multiLevelType w:val="hybridMultilevel"/>
    <w:tmpl w:val="C2221FD8"/>
    <w:lvl w:ilvl="0" w:tplc="A40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9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6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6D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24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A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7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08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3F17"/>
    <w:multiLevelType w:val="hybridMultilevel"/>
    <w:tmpl w:val="EBE69392"/>
    <w:lvl w:ilvl="0" w:tplc="2FECB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56AB1C8" w:tentative="1">
      <w:start w:val="1"/>
      <w:numFmt w:val="lowerLetter"/>
      <w:lvlText w:val="%2."/>
      <w:lvlJc w:val="left"/>
      <w:pPr>
        <w:ind w:left="1440" w:hanging="360"/>
      </w:pPr>
    </w:lvl>
    <w:lvl w:ilvl="2" w:tplc="ED0EEE24" w:tentative="1">
      <w:start w:val="1"/>
      <w:numFmt w:val="lowerRoman"/>
      <w:lvlText w:val="%3."/>
      <w:lvlJc w:val="right"/>
      <w:pPr>
        <w:ind w:left="2160" w:hanging="180"/>
      </w:pPr>
    </w:lvl>
    <w:lvl w:ilvl="3" w:tplc="8B2E0946" w:tentative="1">
      <w:start w:val="1"/>
      <w:numFmt w:val="decimal"/>
      <w:lvlText w:val="%4."/>
      <w:lvlJc w:val="left"/>
      <w:pPr>
        <w:ind w:left="2880" w:hanging="360"/>
      </w:pPr>
    </w:lvl>
    <w:lvl w:ilvl="4" w:tplc="4266AD02" w:tentative="1">
      <w:start w:val="1"/>
      <w:numFmt w:val="lowerLetter"/>
      <w:lvlText w:val="%5."/>
      <w:lvlJc w:val="left"/>
      <w:pPr>
        <w:ind w:left="3600" w:hanging="360"/>
      </w:pPr>
    </w:lvl>
    <w:lvl w:ilvl="5" w:tplc="BE74FB50" w:tentative="1">
      <w:start w:val="1"/>
      <w:numFmt w:val="lowerRoman"/>
      <w:lvlText w:val="%6."/>
      <w:lvlJc w:val="right"/>
      <w:pPr>
        <w:ind w:left="4320" w:hanging="180"/>
      </w:pPr>
    </w:lvl>
    <w:lvl w:ilvl="6" w:tplc="CFCEB096" w:tentative="1">
      <w:start w:val="1"/>
      <w:numFmt w:val="decimal"/>
      <w:lvlText w:val="%7."/>
      <w:lvlJc w:val="left"/>
      <w:pPr>
        <w:ind w:left="5040" w:hanging="360"/>
      </w:pPr>
    </w:lvl>
    <w:lvl w:ilvl="7" w:tplc="01B836E0" w:tentative="1">
      <w:start w:val="1"/>
      <w:numFmt w:val="lowerLetter"/>
      <w:lvlText w:val="%8."/>
      <w:lvlJc w:val="left"/>
      <w:pPr>
        <w:ind w:left="5760" w:hanging="360"/>
      </w:pPr>
    </w:lvl>
    <w:lvl w:ilvl="8" w:tplc="A18E5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47FD"/>
    <w:multiLevelType w:val="hybridMultilevel"/>
    <w:tmpl w:val="017C3B0A"/>
    <w:lvl w:ilvl="0" w:tplc="BC408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C0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64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3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1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F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E5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1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A9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1098">
    <w:abstractNumId w:val="3"/>
  </w:num>
  <w:num w:numId="2" w16cid:durableId="1144735296">
    <w:abstractNumId w:val="2"/>
  </w:num>
  <w:num w:numId="3" w16cid:durableId="193427784">
    <w:abstractNumId w:val="1"/>
  </w:num>
  <w:num w:numId="4" w16cid:durableId="41957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62C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75E"/>
    <w:rsid w:val="000B6FEE"/>
    <w:rsid w:val="000C12C4"/>
    <w:rsid w:val="000C3B4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842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C30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608"/>
    <w:rsid w:val="00162C7A"/>
    <w:rsid w:val="00162DAE"/>
    <w:rsid w:val="001639C5"/>
    <w:rsid w:val="00163E45"/>
    <w:rsid w:val="00165DFA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3B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98B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E2F"/>
    <w:rsid w:val="00321337"/>
    <w:rsid w:val="003215CB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292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B4E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8C9"/>
    <w:rsid w:val="003C664C"/>
    <w:rsid w:val="003D13B2"/>
    <w:rsid w:val="003D462D"/>
    <w:rsid w:val="003D726D"/>
    <w:rsid w:val="003E0875"/>
    <w:rsid w:val="003E0BB8"/>
    <w:rsid w:val="003E6CB0"/>
    <w:rsid w:val="003F1F5E"/>
    <w:rsid w:val="003F286A"/>
    <w:rsid w:val="003F4234"/>
    <w:rsid w:val="003F772B"/>
    <w:rsid w:val="003F77F8"/>
    <w:rsid w:val="00400ACD"/>
    <w:rsid w:val="0040288C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612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7F6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B75"/>
    <w:rsid w:val="005336BD"/>
    <w:rsid w:val="00534A49"/>
    <w:rsid w:val="005363BB"/>
    <w:rsid w:val="00540E7E"/>
    <w:rsid w:val="00541B98"/>
    <w:rsid w:val="00543374"/>
    <w:rsid w:val="00545548"/>
    <w:rsid w:val="00546670"/>
    <w:rsid w:val="00546923"/>
    <w:rsid w:val="00551CA6"/>
    <w:rsid w:val="0055439A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F4D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CD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CB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2B3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05D"/>
    <w:rsid w:val="006B7A2E"/>
    <w:rsid w:val="006C4709"/>
    <w:rsid w:val="006D148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7B3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09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E3B"/>
    <w:rsid w:val="007B4FCA"/>
    <w:rsid w:val="007B7B85"/>
    <w:rsid w:val="007C2A7B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8C7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E41"/>
    <w:rsid w:val="008B7785"/>
    <w:rsid w:val="008B79F2"/>
    <w:rsid w:val="008C0809"/>
    <w:rsid w:val="008C132C"/>
    <w:rsid w:val="008C1DEB"/>
    <w:rsid w:val="008C3FD0"/>
    <w:rsid w:val="008D27A5"/>
    <w:rsid w:val="008D2AAB"/>
    <w:rsid w:val="008D309C"/>
    <w:rsid w:val="008D58F9"/>
    <w:rsid w:val="008D7427"/>
    <w:rsid w:val="008E251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92E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F90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6C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DB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8DD"/>
    <w:rsid w:val="00A51F3E"/>
    <w:rsid w:val="00A5364B"/>
    <w:rsid w:val="00A54142"/>
    <w:rsid w:val="00A54C42"/>
    <w:rsid w:val="00A572B1"/>
    <w:rsid w:val="00A577AF"/>
    <w:rsid w:val="00A60177"/>
    <w:rsid w:val="00A6024A"/>
    <w:rsid w:val="00A61C27"/>
    <w:rsid w:val="00A62638"/>
    <w:rsid w:val="00A6344D"/>
    <w:rsid w:val="00A644B8"/>
    <w:rsid w:val="00A70E35"/>
    <w:rsid w:val="00A720DC"/>
    <w:rsid w:val="00A738B7"/>
    <w:rsid w:val="00A759A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33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57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A29"/>
    <w:rsid w:val="00B87E4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B7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F13"/>
    <w:rsid w:val="00CD37DA"/>
    <w:rsid w:val="00CD48B4"/>
    <w:rsid w:val="00CD4F2C"/>
    <w:rsid w:val="00CD731C"/>
    <w:rsid w:val="00CE08E8"/>
    <w:rsid w:val="00CE108D"/>
    <w:rsid w:val="00CE2133"/>
    <w:rsid w:val="00CE245D"/>
    <w:rsid w:val="00CE300F"/>
    <w:rsid w:val="00CE3582"/>
    <w:rsid w:val="00CE3795"/>
    <w:rsid w:val="00CE3E20"/>
    <w:rsid w:val="00CE4E1F"/>
    <w:rsid w:val="00CF12D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4CF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271"/>
    <w:rsid w:val="00D700B1"/>
    <w:rsid w:val="00D711CC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10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99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040"/>
    <w:rsid w:val="00EB12FC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AB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EE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4CDD93-01E7-44B7-9742-F3F15B1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56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6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562C"/>
    <w:rPr>
      <w:b/>
      <w:bCs/>
    </w:rPr>
  </w:style>
  <w:style w:type="paragraph" w:styleId="Revision">
    <w:name w:val="Revision"/>
    <w:hidden/>
    <w:uiPriority w:val="99"/>
    <w:semiHidden/>
    <w:rsid w:val="008B5E41"/>
    <w:rPr>
      <w:sz w:val="24"/>
      <w:szCs w:val="24"/>
    </w:rPr>
  </w:style>
  <w:style w:type="character" w:styleId="Hyperlink">
    <w:name w:val="Hyperlink"/>
    <w:basedOn w:val="DefaultParagraphFont"/>
    <w:unhideWhenUsed/>
    <w:rsid w:val="005D3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C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4754</Characters>
  <Application>Microsoft Office Word</Application>
  <DocSecurity>4</DocSecurity>
  <Lines>104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HB04659 (Committee Report (Substituted))</vt:lpstr>
    </vt:vector>
  </TitlesOfParts>
  <Company>State of Texas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26032</dc:subject>
  <dc:creator>State of Texas</dc:creator>
  <dc:description>HB 4659 by Schofield-(H)Natural Resources (Substitute Document Number: 88R 18802)</dc:description>
  <cp:lastModifiedBy>Stacey Nicchio</cp:lastModifiedBy>
  <cp:revision>2</cp:revision>
  <cp:lastPrinted>2003-11-26T17:21:00Z</cp:lastPrinted>
  <dcterms:created xsi:type="dcterms:W3CDTF">2023-05-01T23:07:00Z</dcterms:created>
  <dcterms:modified xsi:type="dcterms:W3CDTF">2023-05-01T23:07:00Z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23.117.273</vt:lpwstr>
  </property>
</Properties>
</file>