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07A9" w14:paraId="6F458B8B" w14:textId="77777777" w:rsidTr="00345119">
        <w:tc>
          <w:tcPr>
            <w:tcW w:w="9576" w:type="dxa"/>
            <w:noWrap/>
          </w:tcPr>
          <w:p w14:paraId="6ED1520C" w14:textId="77777777" w:rsidR="008423E4" w:rsidRPr="0022177D" w:rsidRDefault="000B3B3E" w:rsidP="000E077E">
            <w:pPr>
              <w:pStyle w:val="Heading1"/>
            </w:pPr>
            <w:r w:rsidRPr="00631897">
              <w:t>BILL ANALYSIS</w:t>
            </w:r>
          </w:p>
        </w:tc>
      </w:tr>
    </w:tbl>
    <w:p w14:paraId="5A0756FE" w14:textId="77777777" w:rsidR="008423E4" w:rsidRPr="000E077E" w:rsidRDefault="008423E4" w:rsidP="000E077E">
      <w:pPr>
        <w:jc w:val="center"/>
        <w:rPr>
          <w:sz w:val="20"/>
          <w:szCs w:val="20"/>
        </w:rPr>
      </w:pPr>
    </w:p>
    <w:p w14:paraId="66A14615" w14:textId="77777777" w:rsidR="008423E4" w:rsidRPr="000E077E" w:rsidRDefault="008423E4" w:rsidP="000E077E">
      <w:pPr>
        <w:rPr>
          <w:sz w:val="20"/>
          <w:szCs w:val="20"/>
        </w:rPr>
      </w:pPr>
    </w:p>
    <w:p w14:paraId="540A7E7A" w14:textId="77777777" w:rsidR="008423E4" w:rsidRPr="000E077E" w:rsidRDefault="008423E4" w:rsidP="000E077E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07A9" w14:paraId="51CDFD46" w14:textId="77777777" w:rsidTr="00345119">
        <w:tc>
          <w:tcPr>
            <w:tcW w:w="9576" w:type="dxa"/>
          </w:tcPr>
          <w:p w14:paraId="31A2E8E9" w14:textId="3A4003A9" w:rsidR="008423E4" w:rsidRPr="00861995" w:rsidRDefault="000B3B3E" w:rsidP="000E077E">
            <w:pPr>
              <w:jc w:val="right"/>
            </w:pPr>
            <w:r>
              <w:t>C.S.H.B. 4821</w:t>
            </w:r>
          </w:p>
        </w:tc>
      </w:tr>
      <w:tr w:rsidR="002607A9" w14:paraId="7A81EE6D" w14:textId="77777777" w:rsidTr="00345119">
        <w:tc>
          <w:tcPr>
            <w:tcW w:w="9576" w:type="dxa"/>
          </w:tcPr>
          <w:p w14:paraId="667A3CF8" w14:textId="3D1F6845" w:rsidR="008423E4" w:rsidRPr="00861995" w:rsidRDefault="000B3B3E" w:rsidP="000E077E">
            <w:pPr>
              <w:jc w:val="right"/>
            </w:pPr>
            <w:r>
              <w:t xml:space="preserve">By: </w:t>
            </w:r>
            <w:r w:rsidR="001F40F6">
              <w:t>Slawson</w:t>
            </w:r>
          </w:p>
        </w:tc>
      </w:tr>
      <w:tr w:rsidR="002607A9" w14:paraId="7C879C19" w14:textId="77777777" w:rsidTr="00345119">
        <w:tc>
          <w:tcPr>
            <w:tcW w:w="9576" w:type="dxa"/>
          </w:tcPr>
          <w:p w14:paraId="65A4C0DC" w14:textId="027945A9" w:rsidR="008423E4" w:rsidRPr="00861995" w:rsidRDefault="000B3B3E" w:rsidP="000E077E">
            <w:pPr>
              <w:jc w:val="right"/>
            </w:pPr>
            <w:r>
              <w:t>State Affairs</w:t>
            </w:r>
          </w:p>
        </w:tc>
      </w:tr>
      <w:tr w:rsidR="002607A9" w14:paraId="34550AE4" w14:textId="77777777" w:rsidTr="00345119">
        <w:tc>
          <w:tcPr>
            <w:tcW w:w="9576" w:type="dxa"/>
          </w:tcPr>
          <w:p w14:paraId="797C65A9" w14:textId="31EDC65F" w:rsidR="008423E4" w:rsidRDefault="000B3B3E" w:rsidP="000E077E">
            <w:pPr>
              <w:jc w:val="right"/>
            </w:pPr>
            <w:r>
              <w:t>Committee Report (Substituted)</w:t>
            </w:r>
          </w:p>
        </w:tc>
      </w:tr>
    </w:tbl>
    <w:p w14:paraId="3D8FA877" w14:textId="77777777" w:rsidR="008423E4" w:rsidRPr="000E077E" w:rsidRDefault="008423E4" w:rsidP="000E077E">
      <w:pPr>
        <w:tabs>
          <w:tab w:val="right" w:pos="9360"/>
        </w:tabs>
        <w:rPr>
          <w:sz w:val="20"/>
          <w:szCs w:val="20"/>
        </w:rPr>
      </w:pPr>
    </w:p>
    <w:p w14:paraId="4B3EBCB0" w14:textId="77777777" w:rsidR="008423E4" w:rsidRPr="000E077E" w:rsidRDefault="008423E4" w:rsidP="000E077E">
      <w:pPr>
        <w:rPr>
          <w:sz w:val="20"/>
          <w:szCs w:val="20"/>
        </w:rPr>
      </w:pPr>
    </w:p>
    <w:p w14:paraId="40D99583" w14:textId="77777777" w:rsidR="008423E4" w:rsidRPr="000E077E" w:rsidRDefault="008423E4" w:rsidP="000E077E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07A9" w14:paraId="6B6649F1" w14:textId="77777777" w:rsidTr="00B46F1C">
        <w:tc>
          <w:tcPr>
            <w:tcW w:w="9360" w:type="dxa"/>
          </w:tcPr>
          <w:p w14:paraId="764999CE" w14:textId="77777777" w:rsidR="008423E4" w:rsidRPr="00A8133F" w:rsidRDefault="000B3B3E" w:rsidP="000E077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9E5E2A" w14:textId="77777777" w:rsidR="008423E4" w:rsidRPr="004A3B00" w:rsidRDefault="008423E4" w:rsidP="000E077E">
            <w:pPr>
              <w:rPr>
                <w:sz w:val="20"/>
                <w:szCs w:val="20"/>
              </w:rPr>
            </w:pPr>
          </w:p>
          <w:p w14:paraId="568F1B24" w14:textId="08882D78" w:rsidR="008423E4" w:rsidRDefault="000B3B3E" w:rsidP="000E07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Power g</w:t>
            </w:r>
            <w:r w:rsidRPr="008B4E4B">
              <w:t xml:space="preserve">enerators can enter into a </w:t>
            </w:r>
            <w:r>
              <w:t>v</w:t>
            </w:r>
            <w:r w:rsidRPr="008B4E4B">
              <w:t xml:space="preserve">oluntary </w:t>
            </w:r>
            <w:r>
              <w:t>m</w:t>
            </w:r>
            <w:r w:rsidRPr="008B4E4B">
              <w:t xml:space="preserve">itigation </w:t>
            </w:r>
            <w:r>
              <w:t>p</w:t>
            </w:r>
            <w:r w:rsidRPr="008B4E4B">
              <w:t>lan</w:t>
            </w:r>
            <w:r>
              <w:t xml:space="preserve"> (VMP)</w:t>
            </w:r>
            <w:r w:rsidRPr="008B4E4B">
              <w:t xml:space="preserve"> with the </w:t>
            </w:r>
            <w:r>
              <w:t xml:space="preserve">Public Utility Commission of Texas </w:t>
            </w:r>
            <w:r w:rsidRPr="008B4E4B">
              <w:t xml:space="preserve">if they are concerned they may be in violation of market power rules. </w:t>
            </w:r>
            <w:r>
              <w:t>Currently, a</w:t>
            </w:r>
            <w:r w:rsidRPr="008B4E4B">
              <w:t xml:space="preserve"> </w:t>
            </w:r>
            <w:r>
              <w:t>VMP</w:t>
            </w:r>
            <w:r w:rsidRPr="008B4E4B">
              <w:t xml:space="preserve"> serves as an absolute defense against </w:t>
            </w:r>
            <w:r w:rsidR="004B182F">
              <w:t xml:space="preserve">an </w:t>
            </w:r>
            <w:r w:rsidRPr="008B4E4B">
              <w:t xml:space="preserve">alleged violation in regard to activities covered by the </w:t>
            </w:r>
            <w:r>
              <w:t>VMP and t</w:t>
            </w:r>
            <w:r w:rsidRPr="008B4E4B">
              <w:t>here is no require</w:t>
            </w:r>
            <w:r>
              <w:t>ment</w:t>
            </w:r>
            <w:r w:rsidRPr="008B4E4B">
              <w:t xml:space="preserve"> </w:t>
            </w:r>
            <w:r>
              <w:t xml:space="preserve">to </w:t>
            </w:r>
            <w:r w:rsidRPr="008B4E4B">
              <w:t>u</w:t>
            </w:r>
            <w:r w:rsidRPr="008B4E4B">
              <w:t xml:space="preserve">pdate or change a </w:t>
            </w:r>
            <w:r>
              <w:t>VMP</w:t>
            </w:r>
            <w:r w:rsidRPr="008B4E4B">
              <w:t xml:space="preserve">. </w:t>
            </w:r>
            <w:r>
              <w:t>With t</w:t>
            </w:r>
            <w:r w:rsidRPr="008B4E4B">
              <w:t>he ERCOT market ha</w:t>
            </w:r>
            <w:r>
              <w:t>ving</w:t>
            </w:r>
            <w:r w:rsidRPr="008B4E4B">
              <w:t xml:space="preserve"> undergone dramatic changes over the last decade, including the introduction of new technologies, </w:t>
            </w:r>
            <w:r>
              <w:t xml:space="preserve">the </w:t>
            </w:r>
            <w:r w:rsidRPr="008B4E4B">
              <w:t xml:space="preserve">retirement of </w:t>
            </w:r>
            <w:r>
              <w:t xml:space="preserve">certain </w:t>
            </w:r>
            <w:r w:rsidRPr="008B4E4B">
              <w:t>assets</w:t>
            </w:r>
            <w:r>
              <w:t>,</w:t>
            </w:r>
            <w:r w:rsidRPr="008B4E4B">
              <w:t xml:space="preserve"> and changes in the asset mix</w:t>
            </w:r>
            <w:r>
              <w:t>, updates to the provisions governing VMPs ar</w:t>
            </w:r>
            <w:r>
              <w:t>e long overdue.</w:t>
            </w:r>
            <w:r w:rsidRPr="008B4E4B">
              <w:t xml:space="preserve"> </w:t>
            </w:r>
            <w:r>
              <w:t>C.S.H.B. 4821 seeks to</w:t>
            </w:r>
            <w:r w:rsidRPr="008B4E4B">
              <w:t xml:space="preserve"> increase the</w:t>
            </w:r>
            <w:r>
              <w:t xml:space="preserve"> maximum daily administrative</w:t>
            </w:r>
            <w:r w:rsidRPr="008B4E4B">
              <w:t xml:space="preserve"> penalty for a violation of a VMP from $25,000 to $1,000,000</w:t>
            </w:r>
            <w:r>
              <w:t>, while</w:t>
            </w:r>
            <w:r w:rsidRPr="008B4E4B">
              <w:t xml:space="preserve"> also updat</w:t>
            </w:r>
            <w:r>
              <w:t>ing</w:t>
            </w:r>
            <w:r w:rsidRPr="008B4E4B">
              <w:t xml:space="preserve"> multiple aspects of existing VMP regulations</w:t>
            </w:r>
            <w:r>
              <w:t>, including requiring regular reviews of</w:t>
            </w:r>
            <w:r w:rsidRPr="008B4E4B">
              <w:t xml:space="preserve"> all VMPs</w:t>
            </w:r>
            <w:r w:rsidR="00B50587">
              <w:t xml:space="preserve"> and removing the absolute defense</w:t>
            </w:r>
            <w:r>
              <w:t>.</w:t>
            </w:r>
          </w:p>
          <w:p w14:paraId="4B112286" w14:textId="77777777" w:rsidR="008423E4" w:rsidRPr="00E26B13" w:rsidRDefault="008423E4" w:rsidP="000E077E">
            <w:pPr>
              <w:rPr>
                <w:b/>
              </w:rPr>
            </w:pPr>
          </w:p>
        </w:tc>
      </w:tr>
      <w:tr w:rsidR="002607A9" w14:paraId="5A980B8F" w14:textId="77777777" w:rsidTr="00B46F1C">
        <w:tc>
          <w:tcPr>
            <w:tcW w:w="9360" w:type="dxa"/>
          </w:tcPr>
          <w:p w14:paraId="4E2F8588" w14:textId="77777777" w:rsidR="0017725B" w:rsidRDefault="000B3B3E" w:rsidP="000E07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228A4D" w14:textId="77777777" w:rsidR="0017725B" w:rsidRPr="004A3B00" w:rsidRDefault="0017725B" w:rsidP="000E077E">
            <w:pPr>
              <w:rPr>
                <w:bCs/>
                <w:sz w:val="20"/>
                <w:szCs w:val="20"/>
              </w:rPr>
            </w:pPr>
          </w:p>
          <w:p w14:paraId="6AD1C23A" w14:textId="0C152402" w:rsidR="00CE0B6B" w:rsidRPr="00CE0B6B" w:rsidRDefault="000B3B3E" w:rsidP="000E077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</w:t>
            </w:r>
            <w:r>
              <w:t>ility of a person for community supervision, parole, or mandatory supervision.</w:t>
            </w:r>
          </w:p>
          <w:p w14:paraId="2D596C2F" w14:textId="77777777" w:rsidR="0017725B" w:rsidRPr="0017725B" w:rsidRDefault="0017725B" w:rsidP="000E077E">
            <w:pPr>
              <w:rPr>
                <w:b/>
                <w:u w:val="single"/>
              </w:rPr>
            </w:pPr>
          </w:p>
        </w:tc>
      </w:tr>
      <w:tr w:rsidR="002607A9" w14:paraId="2391C94E" w14:textId="77777777" w:rsidTr="00B46F1C">
        <w:tc>
          <w:tcPr>
            <w:tcW w:w="9360" w:type="dxa"/>
          </w:tcPr>
          <w:p w14:paraId="1600478A" w14:textId="77777777" w:rsidR="008423E4" w:rsidRPr="00A8133F" w:rsidRDefault="000B3B3E" w:rsidP="000E077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C543C3" w14:textId="77777777" w:rsidR="008423E4" w:rsidRPr="004A3B00" w:rsidRDefault="008423E4" w:rsidP="000E077E">
            <w:pPr>
              <w:rPr>
                <w:sz w:val="20"/>
                <w:szCs w:val="20"/>
              </w:rPr>
            </w:pPr>
          </w:p>
          <w:p w14:paraId="678CDF0C" w14:textId="2255B6FD" w:rsidR="00CE0B6B" w:rsidRDefault="000B3B3E" w:rsidP="000E07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</w:t>
            </w:r>
            <w:r>
              <w:t>titution.</w:t>
            </w:r>
          </w:p>
          <w:p w14:paraId="6CF58F92" w14:textId="77777777" w:rsidR="008423E4" w:rsidRPr="00E21FDC" w:rsidRDefault="008423E4" w:rsidP="000E077E">
            <w:pPr>
              <w:rPr>
                <w:b/>
              </w:rPr>
            </w:pPr>
          </w:p>
        </w:tc>
      </w:tr>
      <w:tr w:rsidR="002607A9" w14:paraId="1FADA96F" w14:textId="77777777" w:rsidTr="00B46F1C">
        <w:tc>
          <w:tcPr>
            <w:tcW w:w="9360" w:type="dxa"/>
          </w:tcPr>
          <w:p w14:paraId="2AE47327" w14:textId="77777777" w:rsidR="008423E4" w:rsidRPr="00A8133F" w:rsidRDefault="000B3B3E" w:rsidP="000E077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227364" w14:textId="77777777" w:rsidR="008423E4" w:rsidRPr="004A3B00" w:rsidRDefault="008423E4" w:rsidP="000E077E">
            <w:pPr>
              <w:rPr>
                <w:sz w:val="20"/>
                <w:szCs w:val="20"/>
              </w:rPr>
            </w:pPr>
          </w:p>
          <w:p w14:paraId="79A913BA" w14:textId="0A487799" w:rsidR="008C6795" w:rsidRDefault="000B3B3E" w:rsidP="000E07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E459F">
              <w:t xml:space="preserve">H.B. 4821 amends the Utilities Code to </w:t>
            </w:r>
            <w:r w:rsidR="00EE1E63">
              <w:t>increase</w:t>
            </w:r>
            <w:r w:rsidR="00BE459F">
              <w:t xml:space="preserve"> the </w:t>
            </w:r>
            <w:r>
              <w:t xml:space="preserve">maximum daily </w:t>
            </w:r>
            <w:r w:rsidR="00EE1E63">
              <w:t>administrative</w:t>
            </w:r>
            <w:r w:rsidR="00BE459F">
              <w:t xml:space="preserve"> penalty the Public </w:t>
            </w:r>
            <w:r>
              <w:t xml:space="preserve">Utility </w:t>
            </w:r>
            <w:r w:rsidR="00BE459F">
              <w:t>Commission o</w:t>
            </w:r>
            <w:r w:rsidR="00EE1E63">
              <w:t>f Texas</w:t>
            </w:r>
            <w:r w:rsidR="009F2FBF">
              <w:t xml:space="preserve"> (PUC)</w:t>
            </w:r>
            <w:r w:rsidR="00EE1E63">
              <w:t xml:space="preserve"> may impose </w:t>
            </w:r>
            <w:r>
              <w:t xml:space="preserve">for a violation </w:t>
            </w:r>
            <w:r w:rsidR="00D637B7">
              <w:t xml:space="preserve">of </w:t>
            </w:r>
            <w:r>
              <w:t>a voluntary mitigation plan</w:t>
            </w:r>
            <w:r w:rsidR="0004230E">
              <w:t xml:space="preserve"> (VMP)</w:t>
            </w:r>
            <w:r>
              <w:t xml:space="preserve"> </w:t>
            </w:r>
            <w:r w:rsidR="00CD4628">
              <w:t xml:space="preserve">developed and entered into by the PUC and a person relating to a violation of applicable provisions of </w:t>
            </w:r>
            <w:r>
              <w:t xml:space="preserve">the Public Utility Regulatory Act </w:t>
            </w:r>
            <w:r w:rsidR="00E301E6">
              <w:t xml:space="preserve">(PURA) </w:t>
            </w:r>
            <w:r w:rsidR="00CD4628">
              <w:t xml:space="preserve">or of rules adopted by the PUC under those provisions from $25,000 to </w:t>
            </w:r>
            <w:r w:rsidR="00440CE0">
              <w:t>$1,000,000</w:t>
            </w:r>
            <w:r w:rsidR="002A4CB4">
              <w:t>.</w:t>
            </w:r>
            <w:r w:rsidR="00440CE0">
              <w:t xml:space="preserve"> </w:t>
            </w:r>
            <w:r w:rsidR="00CD4628">
              <w:t>In addition, w</w:t>
            </w:r>
            <w:r>
              <w:t xml:space="preserve">ith respect to a </w:t>
            </w:r>
            <w:r w:rsidR="0004230E">
              <w:t>VMP</w:t>
            </w:r>
            <w:r>
              <w:t>, t</w:t>
            </w:r>
            <w:r w:rsidR="00440CE0">
              <w:t>he bill</w:t>
            </w:r>
            <w:r w:rsidR="00CD4628">
              <w:t xml:space="preserve"> also</w:t>
            </w:r>
            <w:r w:rsidR="00440CE0">
              <w:t xml:space="preserve"> </w:t>
            </w:r>
            <w:r>
              <w:t>does the following:</w:t>
            </w:r>
          </w:p>
          <w:p w14:paraId="0B502AE4" w14:textId="416EB1DF" w:rsidR="00764721" w:rsidRDefault="000B3B3E" w:rsidP="000E07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conditions the authority of the PUC to approve a </w:t>
            </w:r>
            <w:r w:rsidR="0004230E">
              <w:t>VMP</w:t>
            </w:r>
            <w:r>
              <w:t xml:space="preserve"> on the PUC determining that the </w:t>
            </w:r>
            <w:r w:rsidR="0004230E">
              <w:t>VMP</w:t>
            </w:r>
            <w:r>
              <w:t xml:space="preserve"> is in the public interest; </w:t>
            </w:r>
          </w:p>
          <w:p w14:paraId="2AC82507" w14:textId="201394DB" w:rsidR="00CD4628" w:rsidRDefault="000B3B3E" w:rsidP="000E07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="0004230E">
              <w:t>a</w:t>
            </w:r>
            <w:r w:rsidR="0004230E" w:rsidRPr="003A3415">
              <w:t xml:space="preserve"> </w:t>
            </w:r>
            <w:r w:rsidR="0004230E">
              <w:t xml:space="preserve">VMP </w:t>
            </w:r>
            <w:r>
              <w:t>to be</w:t>
            </w:r>
            <w:r w:rsidRPr="003A3415">
              <w:t xml:space="preserve"> </w:t>
            </w:r>
            <w:r w:rsidR="00764721">
              <w:t>reviewed</w:t>
            </w:r>
            <w:r w:rsidR="00764721" w:rsidRPr="003A3415">
              <w:t xml:space="preserve"> </w:t>
            </w:r>
            <w:r w:rsidRPr="003A3415">
              <w:t>at least once every two years</w:t>
            </w:r>
            <w:r w:rsidR="00E07CA6">
              <w:t xml:space="preserve"> and </w:t>
            </w:r>
            <w:r>
              <w:t>n</w:t>
            </w:r>
            <w:r w:rsidRPr="003A3415">
              <w:t xml:space="preserve">ot later than the </w:t>
            </w:r>
            <w:r w:rsidRPr="003A3415">
              <w:t xml:space="preserve">90th day after the </w:t>
            </w:r>
            <w:r w:rsidR="00E07CA6">
              <w:t xml:space="preserve">implementation </w:t>
            </w:r>
            <w:r w:rsidRPr="003A3415">
              <w:t>date of a wholesale market design change</w:t>
            </w:r>
            <w:r>
              <w:t xml:space="preserve">; </w:t>
            </w:r>
          </w:p>
          <w:p w14:paraId="30CF9903" w14:textId="1AF10FAB" w:rsidR="008C6795" w:rsidRDefault="000B3B3E" w:rsidP="000E07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PUC, as part of the </w:t>
            </w:r>
            <w:r w:rsidRPr="003A3415">
              <w:t>review</w:t>
            </w:r>
            <w:r>
              <w:t>, to</w:t>
            </w:r>
            <w:r w:rsidRPr="003A3415">
              <w:t xml:space="preserve"> determine whether </w:t>
            </w:r>
            <w:r w:rsidR="00E07CA6">
              <w:t xml:space="preserve">the </w:t>
            </w:r>
            <w:r w:rsidR="0004230E">
              <w:t xml:space="preserve">VMP </w:t>
            </w:r>
            <w:r w:rsidR="00E07CA6">
              <w:t xml:space="preserve">remains in the public interest; </w:t>
            </w:r>
          </w:p>
          <w:p w14:paraId="7E067426" w14:textId="70291D28" w:rsidR="00E07CA6" w:rsidRDefault="000B3B3E" w:rsidP="000E07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establishes that</w:t>
            </w:r>
            <w:r w:rsidR="00190D6D">
              <w:t xml:space="preserve">, </w:t>
            </w:r>
            <w:r>
              <w:t xml:space="preserve">if </w:t>
            </w:r>
            <w:r w:rsidR="00190D6D">
              <w:t xml:space="preserve">the </w:t>
            </w:r>
            <w:r>
              <w:t>PUC determines that the VMP is no longer in the pub</w:t>
            </w:r>
            <w:r>
              <w:t xml:space="preserve">lic interest, </w:t>
            </w:r>
            <w:r w:rsidR="00190D6D">
              <w:t xml:space="preserve">the </w:t>
            </w:r>
            <w:r>
              <w:t xml:space="preserve">PUC and the person </w:t>
            </w:r>
            <w:r w:rsidR="008F50ED">
              <w:t xml:space="preserve">must </w:t>
            </w:r>
            <w:r>
              <w:t>agree to a modification of the VMP or</w:t>
            </w:r>
            <w:r w:rsidR="00190D6D">
              <w:t xml:space="preserve"> the</w:t>
            </w:r>
            <w:r>
              <w:t xml:space="preserve"> PUC must terminate the VMP;</w:t>
            </w:r>
            <w:r w:rsidR="00190D6D">
              <w:t xml:space="preserve"> and</w:t>
            </w:r>
          </w:p>
          <w:p w14:paraId="4BD65255" w14:textId="0F831825" w:rsidR="00E301E6" w:rsidRDefault="000B3B3E" w:rsidP="000E077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replaces the provision establishing that adherence to the </w:t>
            </w:r>
            <w:r w:rsidR="0004230E">
              <w:t xml:space="preserve">VMP </w:t>
            </w:r>
            <w:r>
              <w:t>constitutes an absolute defense against an alleged violation with respect to a</w:t>
            </w:r>
            <w:r>
              <w:t xml:space="preserve">ctivities covered by the </w:t>
            </w:r>
            <w:r w:rsidR="0004230E">
              <w:t xml:space="preserve">VMP </w:t>
            </w:r>
            <w:r>
              <w:t xml:space="preserve">with a provision establishing that adherence to the </w:t>
            </w:r>
            <w:r w:rsidR="0004230E">
              <w:t xml:space="preserve">VMP </w:t>
            </w:r>
            <w:r>
              <w:t>may be considered in determining whether a violation occurred, and if so, the penalty to be assessed.</w:t>
            </w:r>
          </w:p>
          <w:p w14:paraId="296DA957" w14:textId="42B5A6E4" w:rsidR="002A4CB4" w:rsidRPr="009C36CD" w:rsidRDefault="000B3B3E" w:rsidP="000E07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E301E6">
              <w:t>'s provisions</w:t>
            </w:r>
            <w:r>
              <w:t xml:space="preserve"> appl</w:t>
            </w:r>
            <w:r w:rsidR="00E301E6">
              <w:t>y</w:t>
            </w:r>
            <w:r>
              <w:t xml:space="preserve"> only to a violation committed on or after</w:t>
            </w:r>
            <w:r>
              <w:t xml:space="preserve"> the bill's effective date.</w:t>
            </w:r>
          </w:p>
          <w:p w14:paraId="091903A6" w14:textId="77777777" w:rsidR="008423E4" w:rsidRPr="004A3B00" w:rsidRDefault="008423E4" w:rsidP="000E077E">
            <w:pPr>
              <w:rPr>
                <w:bCs/>
                <w:sz w:val="20"/>
                <w:szCs w:val="20"/>
              </w:rPr>
            </w:pPr>
          </w:p>
        </w:tc>
      </w:tr>
      <w:tr w:rsidR="002607A9" w14:paraId="7F52FB95" w14:textId="77777777" w:rsidTr="00B46F1C">
        <w:tc>
          <w:tcPr>
            <w:tcW w:w="9360" w:type="dxa"/>
          </w:tcPr>
          <w:p w14:paraId="6449CEA7" w14:textId="77777777" w:rsidR="008423E4" w:rsidRPr="00A8133F" w:rsidRDefault="000B3B3E" w:rsidP="000E077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E89D9DF" w14:textId="77777777" w:rsidR="008423E4" w:rsidRPr="004A3B00" w:rsidRDefault="008423E4" w:rsidP="000E077E">
            <w:pPr>
              <w:rPr>
                <w:sz w:val="20"/>
                <w:szCs w:val="20"/>
              </w:rPr>
            </w:pPr>
          </w:p>
          <w:p w14:paraId="09782DDC" w14:textId="75890257" w:rsidR="008423E4" w:rsidRPr="003624F2" w:rsidRDefault="000B3B3E" w:rsidP="000E07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2840F7C" w14:textId="77777777" w:rsidR="008423E4" w:rsidRPr="00233FDB" w:rsidRDefault="008423E4" w:rsidP="000E077E">
            <w:pPr>
              <w:rPr>
                <w:b/>
              </w:rPr>
            </w:pPr>
          </w:p>
        </w:tc>
      </w:tr>
      <w:tr w:rsidR="002607A9" w14:paraId="47E2232C" w14:textId="77777777" w:rsidTr="00B46F1C">
        <w:tc>
          <w:tcPr>
            <w:tcW w:w="9360" w:type="dxa"/>
          </w:tcPr>
          <w:p w14:paraId="461B5255" w14:textId="77777777" w:rsidR="001F40F6" w:rsidRDefault="000B3B3E" w:rsidP="000E077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8E8FE91" w14:textId="77777777" w:rsidR="000E077E" w:rsidRPr="004A3B00" w:rsidRDefault="000E077E" w:rsidP="000E077E">
            <w:pPr>
              <w:jc w:val="both"/>
              <w:rPr>
                <w:sz w:val="20"/>
                <w:szCs w:val="20"/>
              </w:rPr>
            </w:pPr>
          </w:p>
          <w:p w14:paraId="33ED3691" w14:textId="3E2E1504" w:rsidR="003E3F8A" w:rsidRDefault="000B3B3E" w:rsidP="000E077E">
            <w:pPr>
              <w:jc w:val="both"/>
            </w:pPr>
            <w:r>
              <w:t xml:space="preserve">While C.S.H.B. 4821 may differ from the introduced in minor or nonsubstantive ways, the following summarizes the substantial differences </w:t>
            </w:r>
            <w:r>
              <w:t>between the introduced and committee substitute versions of the bill.</w:t>
            </w:r>
          </w:p>
          <w:p w14:paraId="496F5BFF" w14:textId="77777777" w:rsidR="003E3F8A" w:rsidRDefault="003E3F8A" w:rsidP="000E077E">
            <w:pPr>
              <w:jc w:val="both"/>
            </w:pPr>
          </w:p>
          <w:p w14:paraId="50291210" w14:textId="40AA9A4B" w:rsidR="003E3F8A" w:rsidRDefault="000B3B3E" w:rsidP="000E077E">
            <w:pPr>
              <w:jc w:val="both"/>
            </w:pPr>
            <w:r>
              <w:t xml:space="preserve">Whereas the introduced increased the maximum daily administrative penalty for any violation of </w:t>
            </w:r>
            <w:r w:rsidR="004B182F">
              <w:t xml:space="preserve">the </w:t>
            </w:r>
            <w:r>
              <w:t>PURA to $1,000,000, the substitute instead only increases the maximum daily administra</w:t>
            </w:r>
            <w:r>
              <w:t xml:space="preserve">tive penalty to $1,000,000 for a violation of a VMP. Accordingly, the substitute omits the provision from the </w:t>
            </w:r>
            <w:r w:rsidR="0030476A">
              <w:t xml:space="preserve">introduced </w:t>
            </w:r>
            <w:r>
              <w:t>repealing the provision that sets the maximum amount the daily administrative penalty for certain other specified violations of PURA at</w:t>
            </w:r>
            <w:r>
              <w:t xml:space="preserve"> $1,000,000.</w:t>
            </w:r>
          </w:p>
          <w:p w14:paraId="52A6D424" w14:textId="77777777" w:rsidR="003E3F8A" w:rsidRDefault="003E3F8A" w:rsidP="000E077E">
            <w:pPr>
              <w:jc w:val="both"/>
            </w:pPr>
          </w:p>
          <w:p w14:paraId="65254B3B" w14:textId="03F85939" w:rsidR="003E3F8A" w:rsidRDefault="000B3B3E" w:rsidP="000E077E">
            <w:pPr>
              <w:jc w:val="both"/>
            </w:pPr>
            <w:r>
              <w:t xml:space="preserve">The substitute includes a provision not in the introduced conditioning the authority of the PUC to approve a VMP on the PUC determining that the VMP is in the public interest. </w:t>
            </w:r>
          </w:p>
          <w:p w14:paraId="175A8041" w14:textId="77777777" w:rsidR="003E3F8A" w:rsidRDefault="003E3F8A" w:rsidP="000E077E">
            <w:pPr>
              <w:jc w:val="both"/>
            </w:pPr>
          </w:p>
          <w:p w14:paraId="05F6E8B3" w14:textId="76E06D2F" w:rsidR="003E3F8A" w:rsidRDefault="000B3B3E" w:rsidP="000E077E">
            <w:pPr>
              <w:jc w:val="both"/>
            </w:pPr>
            <w:r>
              <w:t>Whereas the introduced required a VMP to be updated at least onc</w:t>
            </w:r>
            <w:r>
              <w:t xml:space="preserve">e every two years, the substitute requires instead only that a VMP be reviewed at least once every two years. </w:t>
            </w:r>
          </w:p>
          <w:p w14:paraId="6C49DF82" w14:textId="77777777" w:rsidR="003E3F8A" w:rsidRDefault="003E3F8A" w:rsidP="000E077E">
            <w:pPr>
              <w:jc w:val="both"/>
            </w:pPr>
          </w:p>
          <w:p w14:paraId="32A39043" w14:textId="7D55FC99" w:rsidR="006D7CBB" w:rsidRPr="001F40F6" w:rsidRDefault="000B3B3E" w:rsidP="000E077E">
            <w:pPr>
              <w:jc w:val="both"/>
              <w:rPr>
                <w:b/>
                <w:u w:val="single"/>
              </w:rPr>
            </w:pPr>
            <w:r>
              <w:t>Moreover, whereas the introduced required the PUC to review each existing VMP not later the 90th day after the implementation date of a substant</w:t>
            </w:r>
            <w:r>
              <w:t xml:space="preserve">ial wholesale market design change, the substitute requires that a VMP be reviewed not later than the 90th day after the implementation date of any wholesale market design change, regardless of whether the change is considered substantial. With respect to </w:t>
            </w:r>
            <w:r>
              <w:t xml:space="preserve">the contents of these reviews, the substitute requires the PUC, as part of the review, to determine whether the VMP remains in the public interest. </w:t>
            </w:r>
            <w:r w:rsidR="007766B7">
              <w:t>Conversely, t</w:t>
            </w:r>
            <w:r>
              <w:t>he introduced required the PUC, in conducting the review, to determine whether any changes to t</w:t>
            </w:r>
            <w:r>
              <w:t>he VMP are necessary. The substitute includes a provision not in the introduced establish</w:t>
            </w:r>
            <w:r w:rsidR="007766B7">
              <w:t>ing</w:t>
            </w:r>
            <w:r>
              <w:t xml:space="preserve"> that if the PUC determines the VMP is no longer in the public interest, the PUC and the person must agree to a modification of the VMP or the PUC must terminate th</w:t>
            </w:r>
            <w:r>
              <w:t>e VMP. The substitute omits the provision from the introduced entitling a party with a justiciable interest in the result of a proceeding to adopt or renew a VMP to participate in the proceeding.</w:t>
            </w:r>
          </w:p>
        </w:tc>
      </w:tr>
    </w:tbl>
    <w:p w14:paraId="2D8A86C8" w14:textId="77777777" w:rsidR="008423E4" w:rsidRPr="00BE0E75" w:rsidRDefault="008423E4" w:rsidP="000E077E">
      <w:pPr>
        <w:jc w:val="both"/>
        <w:rPr>
          <w:rFonts w:ascii="Arial" w:hAnsi="Arial"/>
          <w:sz w:val="16"/>
          <w:szCs w:val="16"/>
        </w:rPr>
      </w:pPr>
    </w:p>
    <w:p w14:paraId="36615FAD" w14:textId="77777777" w:rsidR="004108C3" w:rsidRPr="008423E4" w:rsidRDefault="004108C3" w:rsidP="000E077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50D0" w14:textId="77777777" w:rsidR="00000000" w:rsidRDefault="000B3B3E">
      <w:r>
        <w:separator/>
      </w:r>
    </w:p>
  </w:endnote>
  <w:endnote w:type="continuationSeparator" w:id="0">
    <w:p w14:paraId="244AE04B" w14:textId="77777777" w:rsidR="00000000" w:rsidRDefault="000B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B0B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07A9" w14:paraId="52ADA8C8" w14:textId="77777777" w:rsidTr="009C1E9A">
      <w:trPr>
        <w:cantSplit/>
      </w:trPr>
      <w:tc>
        <w:tcPr>
          <w:tcW w:w="0" w:type="pct"/>
        </w:tcPr>
        <w:p w14:paraId="3842BD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7E2D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B1F9D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CA41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30BC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07A9" w14:paraId="14B99621" w14:textId="77777777" w:rsidTr="009C1E9A">
      <w:trPr>
        <w:cantSplit/>
      </w:trPr>
      <w:tc>
        <w:tcPr>
          <w:tcW w:w="0" w:type="pct"/>
        </w:tcPr>
        <w:p w14:paraId="6B30F1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AAA43C" w14:textId="0C6C9D85" w:rsidR="00EC379B" w:rsidRPr="009C1E9A" w:rsidRDefault="000B3B3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26363-D</w:t>
          </w:r>
        </w:p>
      </w:tc>
      <w:tc>
        <w:tcPr>
          <w:tcW w:w="2453" w:type="pct"/>
        </w:tcPr>
        <w:p w14:paraId="606B7021" w14:textId="3E16AE77" w:rsidR="00EC379B" w:rsidRDefault="000B3B3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619F0">
            <w:t>23.117.2045</w:t>
          </w:r>
          <w:r>
            <w:fldChar w:fldCharType="end"/>
          </w:r>
        </w:p>
      </w:tc>
    </w:tr>
    <w:tr w:rsidR="002607A9" w14:paraId="0651046F" w14:textId="77777777" w:rsidTr="009C1E9A">
      <w:trPr>
        <w:cantSplit/>
      </w:trPr>
      <w:tc>
        <w:tcPr>
          <w:tcW w:w="0" w:type="pct"/>
        </w:tcPr>
        <w:p w14:paraId="2EC1384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9979F3" w14:textId="5AA308B1" w:rsidR="00EC379B" w:rsidRPr="009C1E9A" w:rsidRDefault="000B3B3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20559</w:t>
          </w:r>
        </w:p>
      </w:tc>
      <w:tc>
        <w:tcPr>
          <w:tcW w:w="2453" w:type="pct"/>
        </w:tcPr>
        <w:p w14:paraId="2BE83D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9BFD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07A9" w14:paraId="173F97D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23D629" w14:textId="77777777" w:rsidR="00EC379B" w:rsidRDefault="000B3B3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DBD9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B1E5E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1F5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0A55" w14:textId="77777777" w:rsidR="00000000" w:rsidRDefault="000B3B3E">
      <w:r>
        <w:separator/>
      </w:r>
    </w:p>
  </w:footnote>
  <w:footnote w:type="continuationSeparator" w:id="0">
    <w:p w14:paraId="5F325DBD" w14:textId="77777777" w:rsidR="00000000" w:rsidRDefault="000B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433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D3C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C3A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215"/>
    <w:multiLevelType w:val="hybridMultilevel"/>
    <w:tmpl w:val="73DC55CE"/>
    <w:lvl w:ilvl="0" w:tplc="2084D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21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20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89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46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E4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85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64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EE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141E7"/>
    <w:multiLevelType w:val="hybridMultilevel"/>
    <w:tmpl w:val="E8C8DB96"/>
    <w:lvl w:ilvl="0" w:tplc="C9F4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A0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C0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84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EA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80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E2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49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C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46549">
    <w:abstractNumId w:val="0"/>
  </w:num>
  <w:num w:numId="2" w16cid:durableId="178221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30E"/>
    <w:rsid w:val="00043B84"/>
    <w:rsid w:val="0004512B"/>
    <w:rsid w:val="000463F0"/>
    <w:rsid w:val="00046BDA"/>
    <w:rsid w:val="0004762E"/>
    <w:rsid w:val="000532BD"/>
    <w:rsid w:val="000555E0"/>
    <w:rsid w:val="0005568B"/>
    <w:rsid w:val="00055C12"/>
    <w:rsid w:val="000608B0"/>
    <w:rsid w:val="0006104C"/>
    <w:rsid w:val="00064BF2"/>
    <w:rsid w:val="00066631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760"/>
    <w:rsid w:val="000A4893"/>
    <w:rsid w:val="000A54E0"/>
    <w:rsid w:val="000A72C4"/>
    <w:rsid w:val="000B0F30"/>
    <w:rsid w:val="000B1486"/>
    <w:rsid w:val="000B3B3E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77E"/>
    <w:rsid w:val="000E1976"/>
    <w:rsid w:val="000E20F1"/>
    <w:rsid w:val="000E264E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616"/>
    <w:rsid w:val="001824ED"/>
    <w:rsid w:val="00183262"/>
    <w:rsid w:val="0018478F"/>
    <w:rsid w:val="00184B03"/>
    <w:rsid w:val="00185C59"/>
    <w:rsid w:val="00187C1B"/>
    <w:rsid w:val="001908AC"/>
    <w:rsid w:val="00190CFB"/>
    <w:rsid w:val="00190D6D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04A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897"/>
    <w:rsid w:val="001F3CB8"/>
    <w:rsid w:val="001F40F6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7A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CB4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091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76A"/>
    <w:rsid w:val="00313DFE"/>
    <w:rsid w:val="003143B2"/>
    <w:rsid w:val="00314821"/>
    <w:rsid w:val="0031483F"/>
    <w:rsid w:val="00315274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41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F8A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CE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C2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B00"/>
    <w:rsid w:val="004B138F"/>
    <w:rsid w:val="004B182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05D"/>
    <w:rsid w:val="005072CF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6F5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11B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6C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558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CBB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376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21"/>
    <w:rsid w:val="00764786"/>
    <w:rsid w:val="00766E12"/>
    <w:rsid w:val="0077098E"/>
    <w:rsid w:val="00771287"/>
    <w:rsid w:val="0077149E"/>
    <w:rsid w:val="007766B7"/>
    <w:rsid w:val="00777518"/>
    <w:rsid w:val="0077779E"/>
    <w:rsid w:val="00780FB6"/>
    <w:rsid w:val="0078552A"/>
    <w:rsid w:val="00785729"/>
    <w:rsid w:val="00786058"/>
    <w:rsid w:val="00790BB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A05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290"/>
    <w:rsid w:val="008806EB"/>
    <w:rsid w:val="008826F2"/>
    <w:rsid w:val="008831E8"/>
    <w:rsid w:val="00883523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469"/>
    <w:rsid w:val="008B05D8"/>
    <w:rsid w:val="008B0B3D"/>
    <w:rsid w:val="008B2B1A"/>
    <w:rsid w:val="008B3428"/>
    <w:rsid w:val="008B4A91"/>
    <w:rsid w:val="008B4E4B"/>
    <w:rsid w:val="008B7785"/>
    <w:rsid w:val="008B79F2"/>
    <w:rsid w:val="008C0809"/>
    <w:rsid w:val="008C132C"/>
    <w:rsid w:val="008C3FD0"/>
    <w:rsid w:val="008C679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0ED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9F0"/>
    <w:rsid w:val="0096482F"/>
    <w:rsid w:val="00964E3A"/>
    <w:rsid w:val="0096707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ECC"/>
    <w:rsid w:val="009F1B37"/>
    <w:rsid w:val="009F2FBF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F1C"/>
    <w:rsid w:val="00B473D8"/>
    <w:rsid w:val="00B50587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59F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49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61C"/>
    <w:rsid w:val="00CC7131"/>
    <w:rsid w:val="00CC7B9E"/>
    <w:rsid w:val="00CD06CA"/>
    <w:rsid w:val="00CD076A"/>
    <w:rsid w:val="00CD180C"/>
    <w:rsid w:val="00CD37DA"/>
    <w:rsid w:val="00CD4628"/>
    <w:rsid w:val="00CD4F2C"/>
    <w:rsid w:val="00CD731C"/>
    <w:rsid w:val="00CE08E8"/>
    <w:rsid w:val="00CE0B6B"/>
    <w:rsid w:val="00CE2133"/>
    <w:rsid w:val="00CE245D"/>
    <w:rsid w:val="00CE300F"/>
    <w:rsid w:val="00CE3582"/>
    <w:rsid w:val="00CE3795"/>
    <w:rsid w:val="00CE3E20"/>
    <w:rsid w:val="00CF4827"/>
    <w:rsid w:val="00CF4C69"/>
    <w:rsid w:val="00CF4D97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7B7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429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CA6"/>
    <w:rsid w:val="00E1228E"/>
    <w:rsid w:val="00E13374"/>
    <w:rsid w:val="00E14079"/>
    <w:rsid w:val="00E15F90"/>
    <w:rsid w:val="00E16D3E"/>
    <w:rsid w:val="00E17167"/>
    <w:rsid w:val="00E20520"/>
    <w:rsid w:val="00E21BA3"/>
    <w:rsid w:val="00E21D55"/>
    <w:rsid w:val="00E21FDC"/>
    <w:rsid w:val="00E2551E"/>
    <w:rsid w:val="00E26B13"/>
    <w:rsid w:val="00E27E5A"/>
    <w:rsid w:val="00E301E6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833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E1E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E63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0BC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47364F-5F2B-46F3-BBB9-BE48122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A4C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4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4C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4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4CB4"/>
    <w:rPr>
      <w:b/>
      <w:bCs/>
    </w:rPr>
  </w:style>
  <w:style w:type="paragraph" w:styleId="Revision">
    <w:name w:val="Revision"/>
    <w:hidden/>
    <w:uiPriority w:val="99"/>
    <w:semiHidden/>
    <w:rsid w:val="008C6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4333</Characters>
  <Application>Microsoft Office Word</Application>
  <DocSecurity>4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HB04821 (Committee Report (Substituted))</vt:lpstr>
    </vt:vector>
  </TitlesOfParts>
  <Company>State of Texas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26363</dc:subject>
  <dc:creator>State of Texas</dc:creator>
  <dc:description>HB 4821 by Slawson-(H)State Affairs (Substitute Document Number: 88R 20559)</dc:description>
  <cp:lastModifiedBy>Stacey Nicchio</cp:lastModifiedBy>
  <cp:revision>2</cp:revision>
  <cp:lastPrinted>2003-11-26T17:21:00Z</cp:lastPrinted>
  <dcterms:created xsi:type="dcterms:W3CDTF">2023-05-01T21:26:00Z</dcterms:created>
  <dcterms:modified xsi:type="dcterms:W3CDTF">2023-05-01T21:26:00Z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23.117.2045</vt:lpwstr>
  </property>
</Properties>
</file>