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E7319" w14:paraId="67EF1D00" w14:textId="77777777" w:rsidTr="00345119">
        <w:tc>
          <w:tcPr>
            <w:tcW w:w="9576" w:type="dxa"/>
            <w:noWrap/>
          </w:tcPr>
          <w:p w14:paraId="23C56CE4" w14:textId="77777777" w:rsidR="008423E4" w:rsidRPr="0022177D" w:rsidRDefault="00E8569A" w:rsidP="00525838">
            <w:pPr>
              <w:pStyle w:val="Heading1"/>
            </w:pPr>
            <w:r w:rsidRPr="00631897">
              <w:t>BILL ANALYSIS</w:t>
            </w:r>
          </w:p>
        </w:tc>
      </w:tr>
    </w:tbl>
    <w:p w14:paraId="5B386F5A" w14:textId="77777777" w:rsidR="008423E4" w:rsidRPr="0022177D" w:rsidRDefault="008423E4" w:rsidP="00525838">
      <w:pPr>
        <w:jc w:val="center"/>
      </w:pPr>
    </w:p>
    <w:p w14:paraId="1F14AE2F" w14:textId="77777777" w:rsidR="008423E4" w:rsidRPr="00B31F0E" w:rsidRDefault="008423E4" w:rsidP="00525838"/>
    <w:p w14:paraId="776AF66C" w14:textId="77777777" w:rsidR="008423E4" w:rsidRPr="00742794" w:rsidRDefault="008423E4" w:rsidP="00525838">
      <w:pPr>
        <w:tabs>
          <w:tab w:val="right" w:pos="9360"/>
        </w:tabs>
      </w:pPr>
    </w:p>
    <w:tbl>
      <w:tblPr>
        <w:tblW w:w="0" w:type="auto"/>
        <w:tblLayout w:type="fixed"/>
        <w:tblLook w:val="01E0" w:firstRow="1" w:lastRow="1" w:firstColumn="1" w:lastColumn="1" w:noHBand="0" w:noVBand="0"/>
      </w:tblPr>
      <w:tblGrid>
        <w:gridCol w:w="9576"/>
      </w:tblGrid>
      <w:tr w:rsidR="005E7319" w14:paraId="0A6DFFED" w14:textId="77777777" w:rsidTr="00345119">
        <w:tc>
          <w:tcPr>
            <w:tcW w:w="9576" w:type="dxa"/>
          </w:tcPr>
          <w:p w14:paraId="5D7C73A9" w14:textId="20C3ED1C" w:rsidR="008423E4" w:rsidRPr="00861995" w:rsidRDefault="00E8569A" w:rsidP="00525838">
            <w:pPr>
              <w:jc w:val="right"/>
            </w:pPr>
            <w:r>
              <w:t>H.B. 4872</w:t>
            </w:r>
          </w:p>
        </w:tc>
      </w:tr>
      <w:tr w:rsidR="005E7319" w14:paraId="4B2622ED" w14:textId="77777777" w:rsidTr="00345119">
        <w:tc>
          <w:tcPr>
            <w:tcW w:w="9576" w:type="dxa"/>
          </w:tcPr>
          <w:p w14:paraId="38FFDF4B" w14:textId="14C1E1A3" w:rsidR="008423E4" w:rsidRPr="00861995" w:rsidRDefault="00E8569A" w:rsidP="00525838">
            <w:pPr>
              <w:jc w:val="right"/>
            </w:pPr>
            <w:r>
              <w:t xml:space="preserve">By: </w:t>
            </w:r>
            <w:r w:rsidR="00FC2AB9">
              <w:t>Rogers</w:t>
            </w:r>
          </w:p>
        </w:tc>
      </w:tr>
      <w:tr w:rsidR="005E7319" w14:paraId="30E0153F" w14:textId="77777777" w:rsidTr="00345119">
        <w:tc>
          <w:tcPr>
            <w:tcW w:w="9576" w:type="dxa"/>
          </w:tcPr>
          <w:p w14:paraId="1116C068" w14:textId="7F07D68E" w:rsidR="008423E4" w:rsidRPr="00861995" w:rsidRDefault="00E8569A" w:rsidP="00525838">
            <w:pPr>
              <w:jc w:val="right"/>
            </w:pPr>
            <w:r>
              <w:t>Natural Resources</w:t>
            </w:r>
          </w:p>
        </w:tc>
      </w:tr>
      <w:tr w:rsidR="005E7319" w14:paraId="3AD1BA33" w14:textId="77777777" w:rsidTr="00345119">
        <w:tc>
          <w:tcPr>
            <w:tcW w:w="9576" w:type="dxa"/>
          </w:tcPr>
          <w:p w14:paraId="1F9BE5F5" w14:textId="77B98175" w:rsidR="008423E4" w:rsidRDefault="00E8569A" w:rsidP="00525838">
            <w:pPr>
              <w:jc w:val="right"/>
            </w:pPr>
            <w:r>
              <w:t>Committee Report (Unamended)</w:t>
            </w:r>
          </w:p>
        </w:tc>
      </w:tr>
    </w:tbl>
    <w:p w14:paraId="1AE11A56" w14:textId="77777777" w:rsidR="008423E4" w:rsidRDefault="008423E4" w:rsidP="00525838">
      <w:pPr>
        <w:tabs>
          <w:tab w:val="right" w:pos="9360"/>
        </w:tabs>
      </w:pPr>
    </w:p>
    <w:p w14:paraId="48BC069F" w14:textId="77777777" w:rsidR="008423E4" w:rsidRDefault="008423E4" w:rsidP="00525838"/>
    <w:p w14:paraId="7056D022" w14:textId="77777777" w:rsidR="008423E4" w:rsidRDefault="008423E4" w:rsidP="00525838"/>
    <w:tbl>
      <w:tblPr>
        <w:tblW w:w="0" w:type="auto"/>
        <w:tblCellMar>
          <w:left w:w="115" w:type="dxa"/>
          <w:right w:w="115" w:type="dxa"/>
        </w:tblCellMar>
        <w:tblLook w:val="01E0" w:firstRow="1" w:lastRow="1" w:firstColumn="1" w:lastColumn="1" w:noHBand="0" w:noVBand="0"/>
      </w:tblPr>
      <w:tblGrid>
        <w:gridCol w:w="9360"/>
      </w:tblGrid>
      <w:tr w:rsidR="005E7319" w14:paraId="41E4AE18" w14:textId="77777777" w:rsidTr="00345119">
        <w:tc>
          <w:tcPr>
            <w:tcW w:w="9576" w:type="dxa"/>
          </w:tcPr>
          <w:p w14:paraId="4D7BA867" w14:textId="77777777" w:rsidR="008423E4" w:rsidRPr="00A8133F" w:rsidRDefault="00E8569A" w:rsidP="00525838">
            <w:pPr>
              <w:rPr>
                <w:b/>
              </w:rPr>
            </w:pPr>
            <w:r w:rsidRPr="009C1E9A">
              <w:rPr>
                <w:b/>
                <w:u w:val="single"/>
              </w:rPr>
              <w:t>BACKGROUND AND PURPOSE</w:t>
            </w:r>
            <w:r>
              <w:rPr>
                <w:b/>
              </w:rPr>
              <w:t xml:space="preserve"> </w:t>
            </w:r>
          </w:p>
          <w:p w14:paraId="1BF86198" w14:textId="77777777" w:rsidR="008423E4" w:rsidRDefault="008423E4" w:rsidP="00525838"/>
          <w:p w14:paraId="22C4C675" w14:textId="5936E692" w:rsidR="008423E4" w:rsidRDefault="00E8569A" w:rsidP="00525838">
            <w:pPr>
              <w:pStyle w:val="Header"/>
              <w:tabs>
                <w:tab w:val="clear" w:pos="4320"/>
                <w:tab w:val="clear" w:pos="8640"/>
              </w:tabs>
              <w:jc w:val="both"/>
            </w:pPr>
            <w:r>
              <w:t>For many years, the Railroad Commission</w:t>
            </w:r>
            <w:r w:rsidR="000A3F0F">
              <w:t xml:space="preserve"> of Texas</w:t>
            </w:r>
            <w:r>
              <w:t xml:space="preserve"> has allowed for oil and gas wells that were originally drilled under its jurisdiction to be reconditioned for the production of groundwater and conveyed to the landowner. These are colloquially known as "P</w:t>
            </w:r>
            <w:r w:rsidR="000A3F0F">
              <w:t>-</w:t>
            </w:r>
            <w:r>
              <w:t>13 wells" and are currently ineligible for remedi</w:t>
            </w:r>
            <w:r>
              <w:t xml:space="preserve">ation through the </w:t>
            </w:r>
            <w:r w:rsidR="000A3F0F">
              <w:t>o</w:t>
            </w:r>
            <w:r>
              <w:t xml:space="preserve">il </w:t>
            </w:r>
            <w:r w:rsidR="000A3F0F">
              <w:t>and</w:t>
            </w:r>
            <w:r>
              <w:t xml:space="preserve"> </w:t>
            </w:r>
            <w:r w:rsidR="000A3F0F">
              <w:t>g</w:t>
            </w:r>
            <w:r>
              <w:t xml:space="preserve">as </w:t>
            </w:r>
            <w:r w:rsidR="000A3F0F">
              <w:t>r</w:t>
            </w:r>
            <w:r>
              <w:t xml:space="preserve">egulation </w:t>
            </w:r>
            <w:r w:rsidR="000A3F0F">
              <w:t>c</w:t>
            </w:r>
            <w:r>
              <w:t xml:space="preserve">leanup </w:t>
            </w:r>
            <w:r w:rsidR="000A3F0F">
              <w:t>f</w:t>
            </w:r>
            <w:r>
              <w:t xml:space="preserve">und. According to the House </w:t>
            </w:r>
            <w:r w:rsidR="00325807">
              <w:t xml:space="preserve">Committee on </w:t>
            </w:r>
            <w:r>
              <w:t>Natural Resources Interim Report to the 88th Legislature, many of these wells pose a dangerous risk to public health. H</w:t>
            </w:r>
            <w:r w:rsidR="000A3F0F">
              <w:t>.</w:t>
            </w:r>
            <w:r>
              <w:t>B</w:t>
            </w:r>
            <w:r w:rsidR="000A3F0F">
              <w:t>.</w:t>
            </w:r>
            <w:r w:rsidR="006435D6">
              <w:t> </w:t>
            </w:r>
            <w:r>
              <w:t xml:space="preserve">4872 seeks to address that risk by </w:t>
            </w:r>
            <w:r w:rsidR="00492DF9">
              <w:t>providing for</w:t>
            </w:r>
            <w:r>
              <w:t xml:space="preserve"> a</w:t>
            </w:r>
            <w:r w:rsidR="00251C68">
              <w:t xml:space="preserve"> process</w:t>
            </w:r>
            <w:r>
              <w:t xml:space="preserve"> by which landowners are able to report to the Texas Commission on Environmental Quality the existence of a well on their property that was not properly plugged or</w:t>
            </w:r>
            <w:r w:rsidR="00DA6BA0">
              <w:t xml:space="preserve"> otherwise</w:t>
            </w:r>
            <w:r>
              <w:t xml:space="preserve"> poses a threat to ground</w:t>
            </w:r>
            <w:r w:rsidR="00DA6BA0">
              <w:t>water</w:t>
            </w:r>
            <w:r>
              <w:t xml:space="preserve"> or surface water and </w:t>
            </w:r>
            <w:r w:rsidR="00DA6BA0">
              <w:t xml:space="preserve">by </w:t>
            </w:r>
            <w:r w:rsidR="00492DF9">
              <w:t>providing for</w:t>
            </w:r>
            <w:r>
              <w:t xml:space="preserve"> a grant program </w:t>
            </w:r>
            <w:r w:rsidR="00DA6BA0">
              <w:t>for the plugging of</w:t>
            </w:r>
            <w:r>
              <w:t xml:space="preserve"> those reported wells.</w:t>
            </w:r>
          </w:p>
          <w:p w14:paraId="71FE3FDB" w14:textId="77777777" w:rsidR="008423E4" w:rsidRPr="00E26B13" w:rsidRDefault="008423E4" w:rsidP="00525838">
            <w:pPr>
              <w:rPr>
                <w:b/>
              </w:rPr>
            </w:pPr>
          </w:p>
        </w:tc>
      </w:tr>
      <w:tr w:rsidR="005E7319" w14:paraId="70A1C160" w14:textId="77777777" w:rsidTr="00345119">
        <w:tc>
          <w:tcPr>
            <w:tcW w:w="9576" w:type="dxa"/>
          </w:tcPr>
          <w:p w14:paraId="7CF79A2B" w14:textId="77777777" w:rsidR="0017725B" w:rsidRDefault="00E8569A" w:rsidP="00525838">
            <w:pPr>
              <w:rPr>
                <w:b/>
                <w:u w:val="single"/>
              </w:rPr>
            </w:pPr>
            <w:r>
              <w:rPr>
                <w:b/>
                <w:u w:val="single"/>
              </w:rPr>
              <w:t>CRIMINAL JUSTICE IMPACT</w:t>
            </w:r>
          </w:p>
          <w:p w14:paraId="41E26074" w14:textId="77777777" w:rsidR="0017725B" w:rsidRDefault="0017725B" w:rsidP="00525838">
            <w:pPr>
              <w:rPr>
                <w:b/>
                <w:u w:val="single"/>
              </w:rPr>
            </w:pPr>
          </w:p>
          <w:p w14:paraId="6CC38A30" w14:textId="24994EEC" w:rsidR="00D5328D" w:rsidRPr="00D5328D" w:rsidRDefault="00E8569A" w:rsidP="00525838">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6B59D733" w14:textId="77777777" w:rsidR="0017725B" w:rsidRPr="0017725B" w:rsidRDefault="0017725B" w:rsidP="00525838">
            <w:pPr>
              <w:rPr>
                <w:b/>
                <w:u w:val="single"/>
              </w:rPr>
            </w:pPr>
          </w:p>
        </w:tc>
      </w:tr>
      <w:tr w:rsidR="005E7319" w14:paraId="7AB8B0A3" w14:textId="77777777" w:rsidTr="00345119">
        <w:tc>
          <w:tcPr>
            <w:tcW w:w="9576" w:type="dxa"/>
          </w:tcPr>
          <w:p w14:paraId="088477D7" w14:textId="77777777" w:rsidR="008423E4" w:rsidRPr="00A8133F" w:rsidRDefault="00E8569A" w:rsidP="00525838">
            <w:pPr>
              <w:rPr>
                <w:b/>
              </w:rPr>
            </w:pPr>
            <w:r w:rsidRPr="009C1E9A">
              <w:rPr>
                <w:b/>
                <w:u w:val="single"/>
              </w:rPr>
              <w:t>RULEMAKING AUTHORITY</w:t>
            </w:r>
            <w:r>
              <w:rPr>
                <w:b/>
              </w:rPr>
              <w:t xml:space="preserve"> </w:t>
            </w:r>
          </w:p>
          <w:p w14:paraId="5CF61F3D" w14:textId="77777777" w:rsidR="008423E4" w:rsidRDefault="008423E4" w:rsidP="00525838"/>
          <w:p w14:paraId="03DC632B" w14:textId="27434258" w:rsidR="00D5328D" w:rsidRDefault="00E8569A" w:rsidP="00525838">
            <w:pPr>
              <w:pStyle w:val="Header"/>
              <w:tabs>
                <w:tab w:val="clear" w:pos="4320"/>
                <w:tab w:val="clear" w:pos="8640"/>
              </w:tabs>
              <w:jc w:val="both"/>
            </w:pPr>
            <w:r>
              <w:t xml:space="preserve">It is the committee's opinion that rulemaking authority is expressly granted to the </w:t>
            </w:r>
            <w:r w:rsidRPr="00C26D25">
              <w:t>Texas Commission on Environmental Qual</w:t>
            </w:r>
            <w:r w:rsidRPr="00C26D25">
              <w:t xml:space="preserve">ity </w:t>
            </w:r>
            <w:r>
              <w:t>in SECTION 1 of this bill.</w:t>
            </w:r>
          </w:p>
          <w:p w14:paraId="08CB4F95" w14:textId="77777777" w:rsidR="008423E4" w:rsidRPr="00E21FDC" w:rsidRDefault="008423E4" w:rsidP="00525838">
            <w:pPr>
              <w:rPr>
                <w:b/>
              </w:rPr>
            </w:pPr>
          </w:p>
        </w:tc>
      </w:tr>
      <w:tr w:rsidR="005E7319" w14:paraId="39F01826" w14:textId="77777777" w:rsidTr="00345119">
        <w:tc>
          <w:tcPr>
            <w:tcW w:w="9576" w:type="dxa"/>
          </w:tcPr>
          <w:p w14:paraId="1A5D4F2F" w14:textId="77777777" w:rsidR="008423E4" w:rsidRPr="00A8133F" w:rsidRDefault="00E8569A" w:rsidP="00525838">
            <w:pPr>
              <w:rPr>
                <w:b/>
              </w:rPr>
            </w:pPr>
            <w:r w:rsidRPr="009C1E9A">
              <w:rPr>
                <w:b/>
                <w:u w:val="single"/>
              </w:rPr>
              <w:t>ANALYSIS</w:t>
            </w:r>
            <w:r>
              <w:rPr>
                <w:b/>
              </w:rPr>
              <w:t xml:space="preserve"> </w:t>
            </w:r>
          </w:p>
          <w:p w14:paraId="08B37C32" w14:textId="77777777" w:rsidR="008423E4" w:rsidRDefault="008423E4" w:rsidP="00525838"/>
          <w:p w14:paraId="37060D9D" w14:textId="38B5223E" w:rsidR="003A37BE" w:rsidRDefault="00E8569A" w:rsidP="00525838">
            <w:pPr>
              <w:pStyle w:val="Header"/>
              <w:jc w:val="both"/>
            </w:pPr>
            <w:r>
              <w:t xml:space="preserve">H.B. </w:t>
            </w:r>
            <w:r w:rsidRPr="00C26D25">
              <w:t>4872</w:t>
            </w:r>
            <w:r>
              <w:t xml:space="preserve"> amends the Water Code to require the </w:t>
            </w:r>
            <w:r w:rsidRPr="00C26D25">
              <w:t>Texas Commission on Environmental Quality (TCEQ)</w:t>
            </w:r>
            <w:r>
              <w:t xml:space="preserve"> by rule</w:t>
            </w:r>
            <w:r w:rsidR="00B517D3">
              <w:t xml:space="preserve"> to</w:t>
            </w:r>
            <w:r>
              <w:t xml:space="preserve"> develop the following:</w:t>
            </w:r>
          </w:p>
          <w:p w14:paraId="2B1FD643" w14:textId="09341389" w:rsidR="003A37BE" w:rsidRDefault="00E8569A" w:rsidP="00525838">
            <w:pPr>
              <w:pStyle w:val="Header"/>
              <w:numPr>
                <w:ilvl w:val="0"/>
                <w:numId w:val="1"/>
              </w:numPr>
              <w:jc w:val="both"/>
            </w:pPr>
            <w:r>
              <w:t xml:space="preserve">a process through which a landowner may report to the </w:t>
            </w:r>
            <w:r w:rsidR="005F2376">
              <w:t>TCEQ</w:t>
            </w:r>
            <w:r>
              <w:t xml:space="preserve"> the presence on the landowner's land of a well that</w:t>
            </w:r>
            <w:r w:rsidR="009A3FAA">
              <w:t xml:space="preserve"> meets the following criteria</w:t>
            </w:r>
            <w:r>
              <w:t>:</w:t>
            </w:r>
          </w:p>
          <w:p w14:paraId="5E67B9D2" w14:textId="1AC05BB0" w:rsidR="003A37BE" w:rsidRDefault="00E8569A" w:rsidP="00525838">
            <w:pPr>
              <w:pStyle w:val="Header"/>
              <w:numPr>
                <w:ilvl w:val="1"/>
                <w:numId w:val="1"/>
              </w:numPr>
              <w:jc w:val="both"/>
            </w:pPr>
            <w:r>
              <w:t>it was originally drilled or operated as an oil or gas well under a permit issued by the Railroad Commission of Tex</w:t>
            </w:r>
            <w:r>
              <w:t xml:space="preserve">as </w:t>
            </w:r>
            <w:r w:rsidR="005F2376">
              <w:t xml:space="preserve">(RRC) </w:t>
            </w:r>
            <w:r>
              <w:t>and subsequently was conveyed to the landowner for use as a water well; and</w:t>
            </w:r>
          </w:p>
          <w:p w14:paraId="65569C3B" w14:textId="669E0901" w:rsidR="003A37BE" w:rsidRDefault="00E8569A" w:rsidP="00525838">
            <w:pPr>
              <w:pStyle w:val="Header"/>
              <w:numPr>
                <w:ilvl w:val="1"/>
                <w:numId w:val="1"/>
              </w:numPr>
              <w:jc w:val="both"/>
            </w:pPr>
            <w:r>
              <w:t>it has not been plugged properly or otherwise poses a threat to groundwater or surface water; and</w:t>
            </w:r>
          </w:p>
          <w:p w14:paraId="68B02D87" w14:textId="17EF6B55" w:rsidR="009C36CD" w:rsidRDefault="00E8569A" w:rsidP="00525838">
            <w:pPr>
              <w:pStyle w:val="Header"/>
              <w:numPr>
                <w:ilvl w:val="0"/>
                <w:numId w:val="1"/>
              </w:numPr>
              <w:jc w:val="both"/>
            </w:pPr>
            <w:r>
              <w:t>a program to provide grants to landowners or governmental entities for th</w:t>
            </w:r>
            <w:r>
              <w:t xml:space="preserve">e plugging of wells reported through </w:t>
            </w:r>
            <w:r w:rsidR="001E63AA">
              <w:t>that</w:t>
            </w:r>
            <w:r w:rsidR="005F2376">
              <w:t xml:space="preserve"> </w:t>
            </w:r>
            <w:r>
              <w:t>process</w:t>
            </w:r>
            <w:r w:rsidR="005F2376">
              <w:t>.</w:t>
            </w:r>
          </w:p>
          <w:p w14:paraId="35CA464D" w14:textId="56F5684E" w:rsidR="005F2376" w:rsidRDefault="00E8569A" w:rsidP="00525838">
            <w:pPr>
              <w:pStyle w:val="Header"/>
              <w:jc w:val="both"/>
            </w:pPr>
            <w:r>
              <w:t xml:space="preserve">The bill requires the rules implementing the grant program to require </w:t>
            </w:r>
            <w:r w:rsidR="001E63AA">
              <w:t>the following</w:t>
            </w:r>
            <w:r>
              <w:t>:</w:t>
            </w:r>
          </w:p>
          <w:p w14:paraId="2BF7B963" w14:textId="61DA2282" w:rsidR="005F2376" w:rsidRDefault="00E8569A" w:rsidP="00525838">
            <w:pPr>
              <w:pStyle w:val="Header"/>
              <w:numPr>
                <w:ilvl w:val="0"/>
                <w:numId w:val="2"/>
              </w:numPr>
              <w:jc w:val="both"/>
            </w:pPr>
            <w:r>
              <w:t>that the award of grants be based on an actual or probable threat to groundwater or surface water posed by a reported we</w:t>
            </w:r>
            <w:r>
              <w:t>ll; and</w:t>
            </w:r>
          </w:p>
          <w:p w14:paraId="1A5D6FA2" w14:textId="0653085A" w:rsidR="003A37BE" w:rsidRPr="009C36CD" w:rsidRDefault="00E8569A" w:rsidP="00525838">
            <w:pPr>
              <w:pStyle w:val="Header"/>
              <w:numPr>
                <w:ilvl w:val="0"/>
                <w:numId w:val="2"/>
              </w:numPr>
              <w:jc w:val="both"/>
            </w:pPr>
            <w:r>
              <w:t xml:space="preserve">that </w:t>
            </w:r>
            <w:r w:rsidR="005F2376">
              <w:t xml:space="preserve">the plugging of the well be performed by the </w:t>
            </w:r>
            <w:r w:rsidR="00D5328D">
              <w:t xml:space="preserve">RRC </w:t>
            </w:r>
            <w:r w:rsidR="005F2376">
              <w:t xml:space="preserve">or a well plugger approved by the </w:t>
            </w:r>
            <w:r w:rsidR="00D5328D">
              <w:t>RRC</w:t>
            </w:r>
            <w:r w:rsidR="005F2376">
              <w:t>.</w:t>
            </w:r>
          </w:p>
          <w:p w14:paraId="49CF8A0E" w14:textId="77777777" w:rsidR="008423E4" w:rsidRPr="00835628" w:rsidRDefault="008423E4" w:rsidP="00525838">
            <w:pPr>
              <w:rPr>
                <w:b/>
              </w:rPr>
            </w:pPr>
          </w:p>
        </w:tc>
      </w:tr>
      <w:tr w:rsidR="005E7319" w14:paraId="5F409D8A" w14:textId="77777777" w:rsidTr="00345119">
        <w:tc>
          <w:tcPr>
            <w:tcW w:w="9576" w:type="dxa"/>
          </w:tcPr>
          <w:p w14:paraId="4ADB3435" w14:textId="77777777" w:rsidR="008423E4" w:rsidRPr="00A8133F" w:rsidRDefault="00E8569A" w:rsidP="00525838">
            <w:pPr>
              <w:keepNext/>
              <w:rPr>
                <w:b/>
              </w:rPr>
            </w:pPr>
            <w:r w:rsidRPr="009C1E9A">
              <w:rPr>
                <w:b/>
                <w:u w:val="single"/>
              </w:rPr>
              <w:t>EFFECTIVE DATE</w:t>
            </w:r>
            <w:r>
              <w:rPr>
                <w:b/>
              </w:rPr>
              <w:t xml:space="preserve"> </w:t>
            </w:r>
          </w:p>
          <w:p w14:paraId="566EBD41" w14:textId="77777777" w:rsidR="008423E4" w:rsidRDefault="008423E4" w:rsidP="00525838">
            <w:pPr>
              <w:keepNext/>
            </w:pPr>
          </w:p>
          <w:p w14:paraId="715F44F2" w14:textId="4AC12A5B" w:rsidR="008423E4" w:rsidRPr="003624F2" w:rsidRDefault="00E8569A" w:rsidP="00525838">
            <w:pPr>
              <w:pStyle w:val="Header"/>
              <w:tabs>
                <w:tab w:val="clear" w:pos="4320"/>
                <w:tab w:val="clear" w:pos="8640"/>
              </w:tabs>
              <w:jc w:val="both"/>
            </w:pPr>
            <w:r>
              <w:t>September 1, 2023.</w:t>
            </w:r>
          </w:p>
          <w:p w14:paraId="6EE4EC0D" w14:textId="77777777" w:rsidR="008423E4" w:rsidRPr="00233FDB" w:rsidRDefault="008423E4" w:rsidP="00525838">
            <w:pPr>
              <w:rPr>
                <w:b/>
              </w:rPr>
            </w:pPr>
          </w:p>
        </w:tc>
      </w:tr>
    </w:tbl>
    <w:p w14:paraId="4CE8A9D9" w14:textId="77777777" w:rsidR="008423E4" w:rsidRPr="00BE0E75" w:rsidRDefault="008423E4" w:rsidP="00525838">
      <w:pPr>
        <w:jc w:val="both"/>
        <w:rPr>
          <w:rFonts w:ascii="Arial" w:hAnsi="Arial"/>
          <w:sz w:val="16"/>
          <w:szCs w:val="16"/>
        </w:rPr>
      </w:pPr>
    </w:p>
    <w:p w14:paraId="14C8C732" w14:textId="77777777" w:rsidR="004108C3" w:rsidRPr="008423E4" w:rsidRDefault="004108C3" w:rsidP="0052583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59BB" w14:textId="77777777" w:rsidR="00000000" w:rsidRDefault="00E8569A">
      <w:r>
        <w:separator/>
      </w:r>
    </w:p>
  </w:endnote>
  <w:endnote w:type="continuationSeparator" w:id="0">
    <w:p w14:paraId="73CB8BCC" w14:textId="77777777" w:rsidR="00000000" w:rsidRDefault="00E8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F3B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E7319" w14:paraId="4A87315A" w14:textId="77777777" w:rsidTr="009C1E9A">
      <w:trPr>
        <w:cantSplit/>
      </w:trPr>
      <w:tc>
        <w:tcPr>
          <w:tcW w:w="0" w:type="pct"/>
        </w:tcPr>
        <w:p w14:paraId="1C4AAC4B" w14:textId="77777777" w:rsidR="00137D90" w:rsidRDefault="00137D90" w:rsidP="009C1E9A">
          <w:pPr>
            <w:pStyle w:val="Footer"/>
            <w:tabs>
              <w:tab w:val="clear" w:pos="8640"/>
              <w:tab w:val="right" w:pos="9360"/>
            </w:tabs>
          </w:pPr>
        </w:p>
      </w:tc>
      <w:tc>
        <w:tcPr>
          <w:tcW w:w="2395" w:type="pct"/>
        </w:tcPr>
        <w:p w14:paraId="77C087B1" w14:textId="77777777" w:rsidR="00137D90" w:rsidRDefault="00137D90" w:rsidP="009C1E9A">
          <w:pPr>
            <w:pStyle w:val="Footer"/>
            <w:tabs>
              <w:tab w:val="clear" w:pos="8640"/>
              <w:tab w:val="right" w:pos="9360"/>
            </w:tabs>
          </w:pPr>
        </w:p>
        <w:p w14:paraId="30229853" w14:textId="77777777" w:rsidR="001A4310" w:rsidRDefault="001A4310" w:rsidP="009C1E9A">
          <w:pPr>
            <w:pStyle w:val="Footer"/>
            <w:tabs>
              <w:tab w:val="clear" w:pos="8640"/>
              <w:tab w:val="right" w:pos="9360"/>
            </w:tabs>
          </w:pPr>
        </w:p>
        <w:p w14:paraId="3A3A67EB" w14:textId="77777777" w:rsidR="00137D90" w:rsidRDefault="00137D90" w:rsidP="009C1E9A">
          <w:pPr>
            <w:pStyle w:val="Footer"/>
            <w:tabs>
              <w:tab w:val="clear" w:pos="8640"/>
              <w:tab w:val="right" w:pos="9360"/>
            </w:tabs>
          </w:pPr>
        </w:p>
      </w:tc>
      <w:tc>
        <w:tcPr>
          <w:tcW w:w="2453" w:type="pct"/>
        </w:tcPr>
        <w:p w14:paraId="6DB16BF3" w14:textId="77777777" w:rsidR="00137D90" w:rsidRDefault="00137D90" w:rsidP="009C1E9A">
          <w:pPr>
            <w:pStyle w:val="Footer"/>
            <w:tabs>
              <w:tab w:val="clear" w:pos="8640"/>
              <w:tab w:val="right" w:pos="9360"/>
            </w:tabs>
            <w:jc w:val="right"/>
          </w:pPr>
        </w:p>
      </w:tc>
    </w:tr>
    <w:tr w:rsidR="005E7319" w14:paraId="09353481" w14:textId="77777777" w:rsidTr="009C1E9A">
      <w:trPr>
        <w:cantSplit/>
      </w:trPr>
      <w:tc>
        <w:tcPr>
          <w:tcW w:w="0" w:type="pct"/>
        </w:tcPr>
        <w:p w14:paraId="3F7D2F13" w14:textId="77777777" w:rsidR="00EC379B" w:rsidRDefault="00EC379B" w:rsidP="009C1E9A">
          <w:pPr>
            <w:pStyle w:val="Footer"/>
            <w:tabs>
              <w:tab w:val="clear" w:pos="8640"/>
              <w:tab w:val="right" w:pos="9360"/>
            </w:tabs>
          </w:pPr>
        </w:p>
      </w:tc>
      <w:tc>
        <w:tcPr>
          <w:tcW w:w="2395" w:type="pct"/>
        </w:tcPr>
        <w:p w14:paraId="4083BC87" w14:textId="44EED77E" w:rsidR="00EC379B" w:rsidRPr="009C1E9A" w:rsidRDefault="00E8569A" w:rsidP="009C1E9A">
          <w:pPr>
            <w:pStyle w:val="Footer"/>
            <w:tabs>
              <w:tab w:val="clear" w:pos="8640"/>
              <w:tab w:val="right" w:pos="9360"/>
            </w:tabs>
            <w:rPr>
              <w:rFonts w:ascii="Shruti" w:hAnsi="Shruti"/>
              <w:sz w:val="22"/>
            </w:rPr>
          </w:pPr>
          <w:r>
            <w:rPr>
              <w:rFonts w:ascii="Shruti" w:hAnsi="Shruti"/>
              <w:sz w:val="22"/>
            </w:rPr>
            <w:t>88R 22478-D</w:t>
          </w:r>
        </w:p>
      </w:tc>
      <w:tc>
        <w:tcPr>
          <w:tcW w:w="2453" w:type="pct"/>
        </w:tcPr>
        <w:p w14:paraId="18E44B9B" w14:textId="2A38455C" w:rsidR="00EC379B" w:rsidRDefault="00E8569A" w:rsidP="009C1E9A">
          <w:pPr>
            <w:pStyle w:val="Footer"/>
            <w:tabs>
              <w:tab w:val="clear" w:pos="8640"/>
              <w:tab w:val="right" w:pos="9360"/>
            </w:tabs>
            <w:jc w:val="right"/>
          </w:pPr>
          <w:r>
            <w:fldChar w:fldCharType="begin"/>
          </w:r>
          <w:r>
            <w:instrText xml:space="preserve"> DOCPROPERTY  OTID  \* MERGEFORMAT </w:instrText>
          </w:r>
          <w:r>
            <w:fldChar w:fldCharType="separate"/>
          </w:r>
          <w:r w:rsidR="002427B3">
            <w:t>23.97.266</w:t>
          </w:r>
          <w:r>
            <w:fldChar w:fldCharType="end"/>
          </w:r>
        </w:p>
      </w:tc>
    </w:tr>
    <w:tr w:rsidR="005E7319" w14:paraId="0B3CF274" w14:textId="77777777" w:rsidTr="009C1E9A">
      <w:trPr>
        <w:cantSplit/>
      </w:trPr>
      <w:tc>
        <w:tcPr>
          <w:tcW w:w="0" w:type="pct"/>
        </w:tcPr>
        <w:p w14:paraId="592BFF5F" w14:textId="77777777" w:rsidR="00EC379B" w:rsidRDefault="00EC379B" w:rsidP="009C1E9A">
          <w:pPr>
            <w:pStyle w:val="Footer"/>
            <w:tabs>
              <w:tab w:val="clear" w:pos="4320"/>
              <w:tab w:val="clear" w:pos="8640"/>
              <w:tab w:val="left" w:pos="2865"/>
            </w:tabs>
          </w:pPr>
        </w:p>
      </w:tc>
      <w:tc>
        <w:tcPr>
          <w:tcW w:w="2395" w:type="pct"/>
        </w:tcPr>
        <w:p w14:paraId="07F0B66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8936869" w14:textId="77777777" w:rsidR="00EC379B" w:rsidRDefault="00EC379B" w:rsidP="006D504F">
          <w:pPr>
            <w:pStyle w:val="Footer"/>
            <w:rPr>
              <w:rStyle w:val="PageNumber"/>
            </w:rPr>
          </w:pPr>
        </w:p>
        <w:p w14:paraId="0A1964CE" w14:textId="77777777" w:rsidR="00EC379B" w:rsidRDefault="00EC379B" w:rsidP="009C1E9A">
          <w:pPr>
            <w:pStyle w:val="Footer"/>
            <w:tabs>
              <w:tab w:val="clear" w:pos="8640"/>
              <w:tab w:val="right" w:pos="9360"/>
            </w:tabs>
            <w:jc w:val="right"/>
          </w:pPr>
        </w:p>
      </w:tc>
    </w:tr>
    <w:tr w:rsidR="005E7319" w14:paraId="4C86FC03" w14:textId="77777777" w:rsidTr="009C1E9A">
      <w:trPr>
        <w:cantSplit/>
        <w:trHeight w:val="323"/>
      </w:trPr>
      <w:tc>
        <w:tcPr>
          <w:tcW w:w="0" w:type="pct"/>
          <w:gridSpan w:val="3"/>
        </w:tcPr>
        <w:p w14:paraId="3C2E07C9" w14:textId="77777777" w:rsidR="00EC379B" w:rsidRDefault="00E8569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CED73F9" w14:textId="77777777" w:rsidR="00EC379B" w:rsidRDefault="00EC379B" w:rsidP="009C1E9A">
          <w:pPr>
            <w:pStyle w:val="Footer"/>
            <w:tabs>
              <w:tab w:val="clear" w:pos="8640"/>
              <w:tab w:val="right" w:pos="9360"/>
            </w:tabs>
            <w:jc w:val="center"/>
          </w:pPr>
        </w:p>
      </w:tc>
    </w:tr>
  </w:tbl>
  <w:p w14:paraId="717ECFC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87F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5749" w14:textId="77777777" w:rsidR="00000000" w:rsidRDefault="00E8569A">
      <w:r>
        <w:separator/>
      </w:r>
    </w:p>
  </w:footnote>
  <w:footnote w:type="continuationSeparator" w:id="0">
    <w:p w14:paraId="368E1E66" w14:textId="77777777" w:rsidR="00000000" w:rsidRDefault="00E8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F16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B9F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1F1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E0D72"/>
    <w:multiLevelType w:val="hybridMultilevel"/>
    <w:tmpl w:val="E31AEEBE"/>
    <w:lvl w:ilvl="0" w:tplc="C0D2DAF4">
      <w:start w:val="1"/>
      <w:numFmt w:val="bullet"/>
      <w:lvlText w:val=""/>
      <w:lvlJc w:val="left"/>
      <w:pPr>
        <w:tabs>
          <w:tab w:val="num" w:pos="720"/>
        </w:tabs>
        <w:ind w:left="720" w:hanging="360"/>
      </w:pPr>
      <w:rPr>
        <w:rFonts w:ascii="Symbol" w:hAnsi="Symbol" w:hint="default"/>
      </w:rPr>
    </w:lvl>
    <w:lvl w:ilvl="1" w:tplc="5B48594E">
      <w:start w:val="1"/>
      <w:numFmt w:val="bullet"/>
      <w:lvlText w:val="o"/>
      <w:lvlJc w:val="left"/>
      <w:pPr>
        <w:ind w:left="1440" w:hanging="360"/>
      </w:pPr>
      <w:rPr>
        <w:rFonts w:ascii="Courier New" w:hAnsi="Courier New" w:cs="Courier New" w:hint="default"/>
      </w:rPr>
    </w:lvl>
    <w:lvl w:ilvl="2" w:tplc="68FC1664" w:tentative="1">
      <w:start w:val="1"/>
      <w:numFmt w:val="bullet"/>
      <w:lvlText w:val=""/>
      <w:lvlJc w:val="left"/>
      <w:pPr>
        <w:ind w:left="2160" w:hanging="360"/>
      </w:pPr>
      <w:rPr>
        <w:rFonts w:ascii="Wingdings" w:hAnsi="Wingdings" w:hint="default"/>
      </w:rPr>
    </w:lvl>
    <w:lvl w:ilvl="3" w:tplc="45D2E68A" w:tentative="1">
      <w:start w:val="1"/>
      <w:numFmt w:val="bullet"/>
      <w:lvlText w:val=""/>
      <w:lvlJc w:val="left"/>
      <w:pPr>
        <w:ind w:left="2880" w:hanging="360"/>
      </w:pPr>
      <w:rPr>
        <w:rFonts w:ascii="Symbol" w:hAnsi="Symbol" w:hint="default"/>
      </w:rPr>
    </w:lvl>
    <w:lvl w:ilvl="4" w:tplc="FEC44D88" w:tentative="1">
      <w:start w:val="1"/>
      <w:numFmt w:val="bullet"/>
      <w:lvlText w:val="o"/>
      <w:lvlJc w:val="left"/>
      <w:pPr>
        <w:ind w:left="3600" w:hanging="360"/>
      </w:pPr>
      <w:rPr>
        <w:rFonts w:ascii="Courier New" w:hAnsi="Courier New" w:cs="Courier New" w:hint="default"/>
      </w:rPr>
    </w:lvl>
    <w:lvl w:ilvl="5" w:tplc="B42EF46C" w:tentative="1">
      <w:start w:val="1"/>
      <w:numFmt w:val="bullet"/>
      <w:lvlText w:val=""/>
      <w:lvlJc w:val="left"/>
      <w:pPr>
        <w:ind w:left="4320" w:hanging="360"/>
      </w:pPr>
      <w:rPr>
        <w:rFonts w:ascii="Wingdings" w:hAnsi="Wingdings" w:hint="default"/>
      </w:rPr>
    </w:lvl>
    <w:lvl w:ilvl="6" w:tplc="5B9C05F0" w:tentative="1">
      <w:start w:val="1"/>
      <w:numFmt w:val="bullet"/>
      <w:lvlText w:val=""/>
      <w:lvlJc w:val="left"/>
      <w:pPr>
        <w:ind w:left="5040" w:hanging="360"/>
      </w:pPr>
      <w:rPr>
        <w:rFonts w:ascii="Symbol" w:hAnsi="Symbol" w:hint="default"/>
      </w:rPr>
    </w:lvl>
    <w:lvl w:ilvl="7" w:tplc="374EF8BE" w:tentative="1">
      <w:start w:val="1"/>
      <w:numFmt w:val="bullet"/>
      <w:lvlText w:val="o"/>
      <w:lvlJc w:val="left"/>
      <w:pPr>
        <w:ind w:left="5760" w:hanging="360"/>
      </w:pPr>
      <w:rPr>
        <w:rFonts w:ascii="Courier New" w:hAnsi="Courier New" w:cs="Courier New" w:hint="default"/>
      </w:rPr>
    </w:lvl>
    <w:lvl w:ilvl="8" w:tplc="45AEB744" w:tentative="1">
      <w:start w:val="1"/>
      <w:numFmt w:val="bullet"/>
      <w:lvlText w:val=""/>
      <w:lvlJc w:val="left"/>
      <w:pPr>
        <w:ind w:left="6480" w:hanging="360"/>
      </w:pPr>
      <w:rPr>
        <w:rFonts w:ascii="Wingdings" w:hAnsi="Wingdings" w:hint="default"/>
      </w:rPr>
    </w:lvl>
  </w:abstractNum>
  <w:abstractNum w:abstractNumId="1" w15:restartNumberingAfterBreak="0">
    <w:nsid w:val="43531AD1"/>
    <w:multiLevelType w:val="hybridMultilevel"/>
    <w:tmpl w:val="DD441DC2"/>
    <w:lvl w:ilvl="0" w:tplc="5ECEA2E4">
      <w:start w:val="1"/>
      <w:numFmt w:val="bullet"/>
      <w:lvlText w:val=""/>
      <w:lvlJc w:val="left"/>
      <w:pPr>
        <w:tabs>
          <w:tab w:val="num" w:pos="720"/>
        </w:tabs>
        <w:ind w:left="720" w:hanging="360"/>
      </w:pPr>
      <w:rPr>
        <w:rFonts w:ascii="Symbol" w:hAnsi="Symbol" w:hint="default"/>
      </w:rPr>
    </w:lvl>
    <w:lvl w:ilvl="1" w:tplc="8258F942" w:tentative="1">
      <w:start w:val="1"/>
      <w:numFmt w:val="bullet"/>
      <w:lvlText w:val="o"/>
      <w:lvlJc w:val="left"/>
      <w:pPr>
        <w:ind w:left="1440" w:hanging="360"/>
      </w:pPr>
      <w:rPr>
        <w:rFonts w:ascii="Courier New" w:hAnsi="Courier New" w:cs="Courier New" w:hint="default"/>
      </w:rPr>
    </w:lvl>
    <w:lvl w:ilvl="2" w:tplc="E7EE4A42" w:tentative="1">
      <w:start w:val="1"/>
      <w:numFmt w:val="bullet"/>
      <w:lvlText w:val=""/>
      <w:lvlJc w:val="left"/>
      <w:pPr>
        <w:ind w:left="2160" w:hanging="360"/>
      </w:pPr>
      <w:rPr>
        <w:rFonts w:ascii="Wingdings" w:hAnsi="Wingdings" w:hint="default"/>
      </w:rPr>
    </w:lvl>
    <w:lvl w:ilvl="3" w:tplc="2D741A64" w:tentative="1">
      <w:start w:val="1"/>
      <w:numFmt w:val="bullet"/>
      <w:lvlText w:val=""/>
      <w:lvlJc w:val="left"/>
      <w:pPr>
        <w:ind w:left="2880" w:hanging="360"/>
      </w:pPr>
      <w:rPr>
        <w:rFonts w:ascii="Symbol" w:hAnsi="Symbol" w:hint="default"/>
      </w:rPr>
    </w:lvl>
    <w:lvl w:ilvl="4" w:tplc="C2DC2D32" w:tentative="1">
      <w:start w:val="1"/>
      <w:numFmt w:val="bullet"/>
      <w:lvlText w:val="o"/>
      <w:lvlJc w:val="left"/>
      <w:pPr>
        <w:ind w:left="3600" w:hanging="360"/>
      </w:pPr>
      <w:rPr>
        <w:rFonts w:ascii="Courier New" w:hAnsi="Courier New" w:cs="Courier New" w:hint="default"/>
      </w:rPr>
    </w:lvl>
    <w:lvl w:ilvl="5" w:tplc="3C782C7A" w:tentative="1">
      <w:start w:val="1"/>
      <w:numFmt w:val="bullet"/>
      <w:lvlText w:val=""/>
      <w:lvlJc w:val="left"/>
      <w:pPr>
        <w:ind w:left="4320" w:hanging="360"/>
      </w:pPr>
      <w:rPr>
        <w:rFonts w:ascii="Wingdings" w:hAnsi="Wingdings" w:hint="default"/>
      </w:rPr>
    </w:lvl>
    <w:lvl w:ilvl="6" w:tplc="A8322B5C" w:tentative="1">
      <w:start w:val="1"/>
      <w:numFmt w:val="bullet"/>
      <w:lvlText w:val=""/>
      <w:lvlJc w:val="left"/>
      <w:pPr>
        <w:ind w:left="5040" w:hanging="360"/>
      </w:pPr>
      <w:rPr>
        <w:rFonts w:ascii="Symbol" w:hAnsi="Symbol" w:hint="default"/>
      </w:rPr>
    </w:lvl>
    <w:lvl w:ilvl="7" w:tplc="D89A3742" w:tentative="1">
      <w:start w:val="1"/>
      <w:numFmt w:val="bullet"/>
      <w:lvlText w:val="o"/>
      <w:lvlJc w:val="left"/>
      <w:pPr>
        <w:ind w:left="5760" w:hanging="360"/>
      </w:pPr>
      <w:rPr>
        <w:rFonts w:ascii="Courier New" w:hAnsi="Courier New" w:cs="Courier New" w:hint="default"/>
      </w:rPr>
    </w:lvl>
    <w:lvl w:ilvl="8" w:tplc="5C30FC46" w:tentative="1">
      <w:start w:val="1"/>
      <w:numFmt w:val="bullet"/>
      <w:lvlText w:val=""/>
      <w:lvlJc w:val="left"/>
      <w:pPr>
        <w:ind w:left="6480" w:hanging="360"/>
      </w:pPr>
      <w:rPr>
        <w:rFonts w:ascii="Wingdings" w:hAnsi="Wingdings" w:hint="default"/>
      </w:rPr>
    </w:lvl>
  </w:abstractNum>
  <w:abstractNum w:abstractNumId="2" w15:restartNumberingAfterBreak="0">
    <w:nsid w:val="6FEB4B0F"/>
    <w:multiLevelType w:val="hybridMultilevel"/>
    <w:tmpl w:val="9DBCD196"/>
    <w:lvl w:ilvl="0" w:tplc="D23E39AA">
      <w:start w:val="1"/>
      <w:numFmt w:val="decimal"/>
      <w:lvlText w:val="(%1)"/>
      <w:lvlJc w:val="left"/>
      <w:pPr>
        <w:ind w:left="825" w:hanging="465"/>
      </w:pPr>
      <w:rPr>
        <w:rFonts w:hint="default"/>
      </w:rPr>
    </w:lvl>
    <w:lvl w:ilvl="1" w:tplc="905E1420" w:tentative="1">
      <w:start w:val="1"/>
      <w:numFmt w:val="lowerLetter"/>
      <w:lvlText w:val="%2."/>
      <w:lvlJc w:val="left"/>
      <w:pPr>
        <w:ind w:left="1440" w:hanging="360"/>
      </w:pPr>
    </w:lvl>
    <w:lvl w:ilvl="2" w:tplc="9062A9A2" w:tentative="1">
      <w:start w:val="1"/>
      <w:numFmt w:val="lowerRoman"/>
      <w:lvlText w:val="%3."/>
      <w:lvlJc w:val="right"/>
      <w:pPr>
        <w:ind w:left="2160" w:hanging="180"/>
      </w:pPr>
    </w:lvl>
    <w:lvl w:ilvl="3" w:tplc="43487452" w:tentative="1">
      <w:start w:val="1"/>
      <w:numFmt w:val="decimal"/>
      <w:lvlText w:val="%4."/>
      <w:lvlJc w:val="left"/>
      <w:pPr>
        <w:ind w:left="2880" w:hanging="360"/>
      </w:pPr>
    </w:lvl>
    <w:lvl w:ilvl="4" w:tplc="FAE84F02" w:tentative="1">
      <w:start w:val="1"/>
      <w:numFmt w:val="lowerLetter"/>
      <w:lvlText w:val="%5."/>
      <w:lvlJc w:val="left"/>
      <w:pPr>
        <w:ind w:left="3600" w:hanging="360"/>
      </w:pPr>
    </w:lvl>
    <w:lvl w:ilvl="5" w:tplc="7BE8EE08" w:tentative="1">
      <w:start w:val="1"/>
      <w:numFmt w:val="lowerRoman"/>
      <w:lvlText w:val="%6."/>
      <w:lvlJc w:val="right"/>
      <w:pPr>
        <w:ind w:left="4320" w:hanging="180"/>
      </w:pPr>
    </w:lvl>
    <w:lvl w:ilvl="6" w:tplc="700A97F0" w:tentative="1">
      <w:start w:val="1"/>
      <w:numFmt w:val="decimal"/>
      <w:lvlText w:val="%7."/>
      <w:lvlJc w:val="left"/>
      <w:pPr>
        <w:ind w:left="5040" w:hanging="360"/>
      </w:pPr>
    </w:lvl>
    <w:lvl w:ilvl="7" w:tplc="4A02BC2A" w:tentative="1">
      <w:start w:val="1"/>
      <w:numFmt w:val="lowerLetter"/>
      <w:lvlText w:val="%8."/>
      <w:lvlJc w:val="left"/>
      <w:pPr>
        <w:ind w:left="5760" w:hanging="360"/>
      </w:pPr>
    </w:lvl>
    <w:lvl w:ilvl="8" w:tplc="3CA2A5A0"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2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2909"/>
    <w:rsid w:val="00064BF2"/>
    <w:rsid w:val="000667BA"/>
    <w:rsid w:val="000676A7"/>
    <w:rsid w:val="00073914"/>
    <w:rsid w:val="00074236"/>
    <w:rsid w:val="000746BD"/>
    <w:rsid w:val="00076D7D"/>
    <w:rsid w:val="00080D95"/>
    <w:rsid w:val="00090E6B"/>
    <w:rsid w:val="00091B2C"/>
    <w:rsid w:val="00092ABC"/>
    <w:rsid w:val="00097AAF"/>
    <w:rsid w:val="00097D13"/>
    <w:rsid w:val="000A3F0F"/>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3A4"/>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3AA"/>
    <w:rsid w:val="001E655E"/>
    <w:rsid w:val="001F3CB8"/>
    <w:rsid w:val="001F6B91"/>
    <w:rsid w:val="001F703C"/>
    <w:rsid w:val="00200B9E"/>
    <w:rsid w:val="00200BF5"/>
    <w:rsid w:val="002010D1"/>
    <w:rsid w:val="00201338"/>
    <w:rsid w:val="0020775D"/>
    <w:rsid w:val="00207920"/>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7B3"/>
    <w:rsid w:val="002431DA"/>
    <w:rsid w:val="0024691D"/>
    <w:rsid w:val="00247D27"/>
    <w:rsid w:val="00250A50"/>
    <w:rsid w:val="00251C68"/>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3ECF"/>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807"/>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37B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2DF9"/>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838"/>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19"/>
    <w:rsid w:val="005E738F"/>
    <w:rsid w:val="005E788B"/>
    <w:rsid w:val="005F1519"/>
    <w:rsid w:val="005F20CB"/>
    <w:rsid w:val="005F2376"/>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5D6"/>
    <w:rsid w:val="00645750"/>
    <w:rsid w:val="006502C9"/>
    <w:rsid w:val="00650692"/>
    <w:rsid w:val="006508D3"/>
    <w:rsid w:val="00650AFA"/>
    <w:rsid w:val="00662B77"/>
    <w:rsid w:val="00662D0E"/>
    <w:rsid w:val="00663265"/>
    <w:rsid w:val="0066345F"/>
    <w:rsid w:val="0066485B"/>
    <w:rsid w:val="0066702A"/>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A0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3FAA"/>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4765C"/>
    <w:rsid w:val="00B5165A"/>
    <w:rsid w:val="00B517D3"/>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7B2"/>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D25"/>
    <w:rsid w:val="00C2766F"/>
    <w:rsid w:val="00C3223B"/>
    <w:rsid w:val="00C333C6"/>
    <w:rsid w:val="00C341C1"/>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1CB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28D"/>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ABA"/>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BA0"/>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69A"/>
    <w:rsid w:val="00E85DBD"/>
    <w:rsid w:val="00E87A99"/>
    <w:rsid w:val="00E90702"/>
    <w:rsid w:val="00E9241E"/>
    <w:rsid w:val="00E93DEF"/>
    <w:rsid w:val="00E947B1"/>
    <w:rsid w:val="00E96668"/>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291"/>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2AB9"/>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DB1DC7-D4BB-45B2-BA5C-B6988D4F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90ABA"/>
    <w:rPr>
      <w:sz w:val="16"/>
      <w:szCs w:val="16"/>
    </w:rPr>
  </w:style>
  <w:style w:type="paragraph" w:styleId="CommentText">
    <w:name w:val="annotation text"/>
    <w:basedOn w:val="Normal"/>
    <w:link w:val="CommentTextChar"/>
    <w:semiHidden/>
    <w:unhideWhenUsed/>
    <w:rsid w:val="00D90ABA"/>
    <w:rPr>
      <w:sz w:val="20"/>
      <w:szCs w:val="20"/>
    </w:rPr>
  </w:style>
  <w:style w:type="character" w:customStyle="1" w:styleId="CommentTextChar">
    <w:name w:val="Comment Text Char"/>
    <w:basedOn w:val="DefaultParagraphFont"/>
    <w:link w:val="CommentText"/>
    <w:semiHidden/>
    <w:rsid w:val="00D90ABA"/>
  </w:style>
  <w:style w:type="paragraph" w:styleId="CommentSubject">
    <w:name w:val="annotation subject"/>
    <w:basedOn w:val="CommentText"/>
    <w:next w:val="CommentText"/>
    <w:link w:val="CommentSubjectChar"/>
    <w:semiHidden/>
    <w:unhideWhenUsed/>
    <w:rsid w:val="00D90ABA"/>
    <w:rPr>
      <w:b/>
      <w:bCs/>
    </w:rPr>
  </w:style>
  <w:style w:type="character" w:customStyle="1" w:styleId="CommentSubjectChar">
    <w:name w:val="Comment Subject Char"/>
    <w:basedOn w:val="CommentTextChar"/>
    <w:link w:val="CommentSubject"/>
    <w:semiHidden/>
    <w:rsid w:val="00D90ABA"/>
    <w:rPr>
      <w:b/>
      <w:bCs/>
    </w:rPr>
  </w:style>
  <w:style w:type="paragraph" w:styleId="Revision">
    <w:name w:val="Revision"/>
    <w:hidden/>
    <w:uiPriority w:val="99"/>
    <w:semiHidden/>
    <w:rsid w:val="00B517D3"/>
    <w:rPr>
      <w:sz w:val="24"/>
      <w:szCs w:val="24"/>
    </w:rPr>
  </w:style>
  <w:style w:type="character" w:styleId="Hyperlink">
    <w:name w:val="Hyperlink"/>
    <w:basedOn w:val="DefaultParagraphFont"/>
    <w:unhideWhenUsed/>
    <w:rsid w:val="000A3F0F"/>
    <w:rPr>
      <w:color w:val="0000FF" w:themeColor="hyperlink"/>
      <w:u w:val="single"/>
    </w:rPr>
  </w:style>
  <w:style w:type="character" w:customStyle="1" w:styleId="UnresolvedMention1">
    <w:name w:val="Unresolved Mention1"/>
    <w:basedOn w:val="DefaultParagraphFont"/>
    <w:uiPriority w:val="99"/>
    <w:semiHidden/>
    <w:unhideWhenUsed/>
    <w:rsid w:val="000A3F0F"/>
    <w:rPr>
      <w:color w:val="605E5C"/>
      <w:shd w:val="clear" w:color="auto" w:fill="E1DFDD"/>
    </w:rPr>
  </w:style>
  <w:style w:type="character" w:styleId="FollowedHyperlink">
    <w:name w:val="FollowedHyperlink"/>
    <w:basedOn w:val="DefaultParagraphFont"/>
    <w:semiHidden/>
    <w:unhideWhenUsed/>
    <w:rsid w:val="00325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2090</Characters>
  <Application>Microsoft Office Word</Application>
  <DocSecurity>4</DocSecurity>
  <Lines>59</Lines>
  <Paragraphs>22</Paragraphs>
  <ScaleCrop>false</ScaleCrop>
  <HeadingPairs>
    <vt:vector size="2" baseType="variant">
      <vt:variant>
        <vt:lpstr>Title</vt:lpstr>
      </vt:variant>
      <vt:variant>
        <vt:i4>1</vt:i4>
      </vt:variant>
    </vt:vector>
  </HeadingPairs>
  <TitlesOfParts>
    <vt:vector size="1" baseType="lpstr">
      <vt:lpstr>BA - HB04872 (Committee Report (Unamended))</vt:lpstr>
    </vt:vector>
  </TitlesOfParts>
  <Company>State of Texas</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22478</dc:subject>
  <dc:creator>State of Texas</dc:creator>
  <dc:description>HB 4872 by Rogers-(H)Natural Resources</dc:description>
  <cp:lastModifiedBy>Alan Gonzalez Otero</cp:lastModifiedBy>
  <cp:revision>2</cp:revision>
  <cp:lastPrinted>2003-11-26T17:21:00Z</cp:lastPrinted>
  <dcterms:created xsi:type="dcterms:W3CDTF">2023-04-10T23:46:00Z</dcterms:created>
  <dcterms:modified xsi:type="dcterms:W3CDTF">2023-04-10T23:46:00Z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23.97.266</vt:lpwstr>
  </property>
</Properties>
</file>