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14AF8" w14:paraId="540131FC" w14:textId="77777777" w:rsidTr="00345119">
        <w:tc>
          <w:tcPr>
            <w:tcW w:w="9576" w:type="dxa"/>
            <w:noWrap/>
          </w:tcPr>
          <w:p w14:paraId="1A44947D" w14:textId="77777777" w:rsidR="008423E4" w:rsidRPr="0022177D" w:rsidRDefault="00F50FD8" w:rsidP="00345119">
            <w:pPr>
              <w:pStyle w:val="Heading1"/>
            </w:pPr>
            <w:r w:rsidRPr="00631897">
              <w:t>BILL ANALYSIS</w:t>
            </w:r>
          </w:p>
        </w:tc>
      </w:tr>
    </w:tbl>
    <w:p w14:paraId="4CE781B0" w14:textId="77777777" w:rsidR="008423E4" w:rsidRPr="000E2F5B" w:rsidRDefault="008423E4" w:rsidP="008423E4">
      <w:pPr>
        <w:jc w:val="center"/>
        <w:rPr>
          <w:sz w:val="20"/>
          <w:szCs w:val="20"/>
        </w:rPr>
      </w:pPr>
    </w:p>
    <w:p w14:paraId="6867216A" w14:textId="77777777" w:rsidR="008423E4" w:rsidRPr="000E2F5B" w:rsidRDefault="008423E4" w:rsidP="008423E4">
      <w:pPr>
        <w:rPr>
          <w:sz w:val="20"/>
          <w:szCs w:val="20"/>
        </w:rPr>
      </w:pPr>
    </w:p>
    <w:p w14:paraId="5779CF99" w14:textId="77777777" w:rsidR="008423E4" w:rsidRPr="000E2F5B" w:rsidRDefault="008423E4" w:rsidP="008423E4">
      <w:pPr>
        <w:tabs>
          <w:tab w:val="right" w:pos="9360"/>
        </w:tabs>
        <w:rPr>
          <w:sz w:val="20"/>
          <w:szCs w:val="20"/>
        </w:rPr>
      </w:pPr>
    </w:p>
    <w:tbl>
      <w:tblPr>
        <w:tblW w:w="0" w:type="auto"/>
        <w:tblLayout w:type="fixed"/>
        <w:tblLook w:val="01E0" w:firstRow="1" w:lastRow="1" w:firstColumn="1" w:lastColumn="1" w:noHBand="0" w:noVBand="0"/>
      </w:tblPr>
      <w:tblGrid>
        <w:gridCol w:w="9576"/>
      </w:tblGrid>
      <w:tr w:rsidR="00E14AF8" w14:paraId="5855A247" w14:textId="77777777" w:rsidTr="00345119">
        <w:tc>
          <w:tcPr>
            <w:tcW w:w="9576" w:type="dxa"/>
          </w:tcPr>
          <w:p w14:paraId="771E1697" w14:textId="77777777" w:rsidR="008423E4" w:rsidRPr="00861995" w:rsidRDefault="00F50FD8" w:rsidP="00345119">
            <w:pPr>
              <w:jc w:val="right"/>
            </w:pPr>
            <w:r>
              <w:t>C.S.H.B. 4885</w:t>
            </w:r>
          </w:p>
        </w:tc>
      </w:tr>
      <w:tr w:rsidR="00E14AF8" w14:paraId="64870BB0" w14:textId="77777777" w:rsidTr="00345119">
        <w:tc>
          <w:tcPr>
            <w:tcW w:w="9576" w:type="dxa"/>
          </w:tcPr>
          <w:p w14:paraId="683F6EB5" w14:textId="77777777" w:rsidR="008423E4" w:rsidRPr="00861995" w:rsidRDefault="00F50FD8" w:rsidP="00345119">
            <w:pPr>
              <w:jc w:val="right"/>
            </w:pPr>
            <w:r>
              <w:t xml:space="preserve">By: </w:t>
            </w:r>
            <w:r w:rsidR="00522841">
              <w:t>Landgraf</w:t>
            </w:r>
          </w:p>
        </w:tc>
      </w:tr>
      <w:tr w:rsidR="00E14AF8" w14:paraId="26370038" w14:textId="77777777" w:rsidTr="00345119">
        <w:tc>
          <w:tcPr>
            <w:tcW w:w="9576" w:type="dxa"/>
          </w:tcPr>
          <w:p w14:paraId="2BD85B65" w14:textId="77777777" w:rsidR="008423E4" w:rsidRPr="00861995" w:rsidRDefault="00F50FD8" w:rsidP="00345119">
            <w:pPr>
              <w:jc w:val="right"/>
            </w:pPr>
            <w:r>
              <w:t>Environmental Regulation</w:t>
            </w:r>
          </w:p>
        </w:tc>
      </w:tr>
      <w:tr w:rsidR="00E14AF8" w14:paraId="317F8D2B" w14:textId="77777777" w:rsidTr="00345119">
        <w:tc>
          <w:tcPr>
            <w:tcW w:w="9576" w:type="dxa"/>
          </w:tcPr>
          <w:p w14:paraId="2710259C" w14:textId="77777777" w:rsidR="008423E4" w:rsidRDefault="00F50FD8" w:rsidP="00345119">
            <w:pPr>
              <w:jc w:val="right"/>
            </w:pPr>
            <w:r>
              <w:t>Committee Report (Substituted)</w:t>
            </w:r>
          </w:p>
        </w:tc>
      </w:tr>
    </w:tbl>
    <w:p w14:paraId="055766A4" w14:textId="77777777" w:rsidR="008423E4" w:rsidRPr="000E2F5B" w:rsidRDefault="008423E4" w:rsidP="008423E4">
      <w:pPr>
        <w:tabs>
          <w:tab w:val="right" w:pos="9360"/>
        </w:tabs>
        <w:rPr>
          <w:sz w:val="20"/>
          <w:szCs w:val="20"/>
        </w:rPr>
      </w:pPr>
    </w:p>
    <w:p w14:paraId="05096804" w14:textId="77777777" w:rsidR="008423E4" w:rsidRPr="000E2F5B" w:rsidRDefault="008423E4" w:rsidP="008423E4">
      <w:pPr>
        <w:rPr>
          <w:sz w:val="20"/>
          <w:szCs w:val="20"/>
        </w:rPr>
      </w:pPr>
    </w:p>
    <w:p w14:paraId="54E80B0A" w14:textId="77777777" w:rsidR="008423E4" w:rsidRPr="000E2F5B" w:rsidRDefault="008423E4" w:rsidP="008423E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E14AF8" w14:paraId="3A9F9DB1" w14:textId="77777777" w:rsidTr="00345119">
        <w:tc>
          <w:tcPr>
            <w:tcW w:w="9576" w:type="dxa"/>
          </w:tcPr>
          <w:p w14:paraId="64FC5134" w14:textId="77777777" w:rsidR="008423E4" w:rsidRPr="00A8133F" w:rsidRDefault="00F50FD8" w:rsidP="00D266B1">
            <w:pPr>
              <w:rPr>
                <w:b/>
              </w:rPr>
            </w:pPr>
            <w:r w:rsidRPr="009C1E9A">
              <w:rPr>
                <w:b/>
                <w:u w:val="single"/>
              </w:rPr>
              <w:t>BACKGROUND AND PURPOSE</w:t>
            </w:r>
            <w:r>
              <w:rPr>
                <w:b/>
              </w:rPr>
              <w:t xml:space="preserve"> </w:t>
            </w:r>
          </w:p>
          <w:p w14:paraId="3EC4182D" w14:textId="77777777" w:rsidR="008423E4" w:rsidRDefault="008423E4" w:rsidP="00D266B1"/>
          <w:p w14:paraId="03E0397D" w14:textId="38D2E4F4" w:rsidR="008423E4" w:rsidRDefault="00F50FD8" w:rsidP="00D266B1">
            <w:pPr>
              <w:pStyle w:val="Header"/>
              <w:tabs>
                <w:tab w:val="clear" w:pos="4320"/>
                <w:tab w:val="clear" w:pos="8640"/>
              </w:tabs>
              <w:jc w:val="both"/>
            </w:pPr>
            <w:r>
              <w:t>There is a need to address growing concerns about air pollution and greenhouse gas emissions in Texas</w:t>
            </w:r>
            <w:r w:rsidR="00C323E5">
              <w:t>, especially in the transportation sector</w:t>
            </w:r>
            <w:r>
              <w:t xml:space="preserve">. The adoption of cleaner, hydrogen-based technologies for vehicles and infrastructure </w:t>
            </w:r>
            <w:r w:rsidR="00403A37">
              <w:t>may</w:t>
            </w:r>
            <w:r>
              <w:t xml:space="preserve"> help reduce</w:t>
            </w:r>
            <w:r w:rsidR="004A2597">
              <w:t xml:space="preserve"> pollution</w:t>
            </w:r>
            <w:r>
              <w:t xml:space="preserve"> emissions. C.S.H.B. 4885 seeks </w:t>
            </w:r>
            <w:r w:rsidR="00403A37">
              <w:t xml:space="preserve">to </w:t>
            </w:r>
            <w:r w:rsidR="00C323E5">
              <w:t>address these concerns by</w:t>
            </w:r>
            <w:r>
              <w:t xml:space="preserve"> updat</w:t>
            </w:r>
            <w:r w:rsidR="00C323E5">
              <w:t>ing provisions relating to</w:t>
            </w:r>
            <w:r>
              <w:t xml:space="preserve"> the Texas em</w:t>
            </w:r>
            <w:r>
              <w:t xml:space="preserve">issions reduction plan </w:t>
            </w:r>
            <w:r w:rsidR="00C323E5">
              <w:t>in order to</w:t>
            </w:r>
            <w:r>
              <w:t xml:space="preserve"> reallocat</w:t>
            </w:r>
            <w:r w:rsidR="00C323E5">
              <w:t>e</w:t>
            </w:r>
            <w:r>
              <w:t xml:space="preserve"> funds</w:t>
            </w:r>
            <w:r w:rsidR="00C323E5">
              <w:t>, revis</w:t>
            </w:r>
            <w:r w:rsidR="0067280F">
              <w:t>e</w:t>
            </w:r>
            <w:r w:rsidR="00C323E5">
              <w:t xml:space="preserve"> certain programs,</w:t>
            </w:r>
            <w:r>
              <w:t xml:space="preserve"> and establish</w:t>
            </w:r>
            <w:r w:rsidR="00C323E5">
              <w:t xml:space="preserve"> the </w:t>
            </w:r>
            <w:r w:rsidR="00C323E5" w:rsidRPr="00C323E5">
              <w:t>Texas hydrogen infrastructure, vehicle, and equipment grant program</w:t>
            </w:r>
            <w:r w:rsidR="004A2597">
              <w:t xml:space="preserve"> so that </w:t>
            </w:r>
            <w:r>
              <w:t>the transition to cleaner transportation options</w:t>
            </w:r>
            <w:r w:rsidR="004A2597">
              <w:t xml:space="preserve"> is accelerated</w:t>
            </w:r>
            <w:r>
              <w:t>, leading to improved</w:t>
            </w:r>
            <w:r>
              <w:t xml:space="preserve"> air quality, reduced environmental impact, and better alignment with emissions reduction goals.</w:t>
            </w:r>
          </w:p>
          <w:p w14:paraId="4C0A1A4B" w14:textId="77777777" w:rsidR="008423E4" w:rsidRPr="00E26B13" w:rsidRDefault="008423E4" w:rsidP="00D266B1">
            <w:pPr>
              <w:rPr>
                <w:b/>
              </w:rPr>
            </w:pPr>
          </w:p>
        </w:tc>
      </w:tr>
      <w:tr w:rsidR="00E14AF8" w14:paraId="5487E5A4" w14:textId="77777777" w:rsidTr="00345119">
        <w:tc>
          <w:tcPr>
            <w:tcW w:w="9576" w:type="dxa"/>
          </w:tcPr>
          <w:p w14:paraId="18715F1A" w14:textId="77777777" w:rsidR="0017725B" w:rsidRDefault="00F50FD8" w:rsidP="00D266B1">
            <w:pPr>
              <w:rPr>
                <w:b/>
                <w:u w:val="single"/>
              </w:rPr>
            </w:pPr>
            <w:r>
              <w:rPr>
                <w:b/>
                <w:u w:val="single"/>
              </w:rPr>
              <w:t>CRIMINAL JUSTICE IMPACT</w:t>
            </w:r>
          </w:p>
          <w:p w14:paraId="505A2D14" w14:textId="77777777" w:rsidR="0017725B" w:rsidRDefault="0017725B" w:rsidP="00D266B1">
            <w:pPr>
              <w:rPr>
                <w:b/>
                <w:u w:val="single"/>
              </w:rPr>
            </w:pPr>
          </w:p>
          <w:p w14:paraId="6DBE2363" w14:textId="32607125" w:rsidR="003F30F9" w:rsidRPr="003F30F9" w:rsidRDefault="00F50FD8" w:rsidP="00D266B1">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09426E23" w14:textId="77777777" w:rsidR="0017725B" w:rsidRPr="0017725B" w:rsidRDefault="0017725B" w:rsidP="00D266B1">
            <w:pPr>
              <w:rPr>
                <w:b/>
                <w:u w:val="single"/>
              </w:rPr>
            </w:pPr>
          </w:p>
        </w:tc>
      </w:tr>
      <w:tr w:rsidR="00E14AF8" w14:paraId="00B16D72" w14:textId="77777777" w:rsidTr="00345119">
        <w:tc>
          <w:tcPr>
            <w:tcW w:w="9576" w:type="dxa"/>
          </w:tcPr>
          <w:p w14:paraId="7C81B5DE" w14:textId="77777777" w:rsidR="008423E4" w:rsidRPr="00A8133F" w:rsidRDefault="00F50FD8" w:rsidP="00D266B1">
            <w:pPr>
              <w:rPr>
                <w:b/>
              </w:rPr>
            </w:pPr>
            <w:r w:rsidRPr="009C1E9A">
              <w:rPr>
                <w:b/>
                <w:u w:val="single"/>
              </w:rPr>
              <w:t>RULEMAKING AUTHORITY</w:t>
            </w:r>
            <w:r>
              <w:rPr>
                <w:b/>
              </w:rPr>
              <w:t xml:space="preserve"> </w:t>
            </w:r>
          </w:p>
          <w:p w14:paraId="172AF811" w14:textId="77777777" w:rsidR="008423E4" w:rsidRDefault="008423E4" w:rsidP="00D266B1"/>
          <w:p w14:paraId="3C40460B" w14:textId="08CBF602" w:rsidR="003844B7" w:rsidRDefault="00F50FD8" w:rsidP="00D266B1">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26FADB07" w14:textId="77777777" w:rsidR="008423E4" w:rsidRPr="00E21FDC" w:rsidRDefault="008423E4" w:rsidP="00D266B1">
            <w:pPr>
              <w:rPr>
                <w:b/>
              </w:rPr>
            </w:pPr>
          </w:p>
        </w:tc>
      </w:tr>
      <w:tr w:rsidR="00E14AF8" w14:paraId="2354F2EF" w14:textId="77777777" w:rsidTr="00345119">
        <w:tc>
          <w:tcPr>
            <w:tcW w:w="9576" w:type="dxa"/>
          </w:tcPr>
          <w:p w14:paraId="31C04FFC" w14:textId="77777777" w:rsidR="008423E4" w:rsidRPr="00A8133F" w:rsidRDefault="00F50FD8" w:rsidP="00D266B1">
            <w:pPr>
              <w:rPr>
                <w:b/>
              </w:rPr>
            </w:pPr>
            <w:r w:rsidRPr="009C1E9A">
              <w:rPr>
                <w:b/>
                <w:u w:val="single"/>
              </w:rPr>
              <w:t>ANALYSIS</w:t>
            </w:r>
            <w:r>
              <w:rPr>
                <w:b/>
              </w:rPr>
              <w:t xml:space="preserve"> </w:t>
            </w:r>
          </w:p>
          <w:p w14:paraId="48AFF55A" w14:textId="77777777" w:rsidR="00B22250" w:rsidRDefault="00B22250" w:rsidP="00D266B1">
            <w:pPr>
              <w:pStyle w:val="Header"/>
              <w:tabs>
                <w:tab w:val="clear" w:pos="4320"/>
                <w:tab w:val="clear" w:pos="8640"/>
              </w:tabs>
              <w:jc w:val="both"/>
              <w:rPr>
                <w:b/>
                <w:bCs/>
              </w:rPr>
            </w:pPr>
          </w:p>
          <w:p w14:paraId="7785EC85" w14:textId="20466C28" w:rsidR="009C36CD" w:rsidRPr="00A845FA" w:rsidRDefault="00F50FD8" w:rsidP="00D266B1">
            <w:pPr>
              <w:pStyle w:val="Header"/>
              <w:tabs>
                <w:tab w:val="clear" w:pos="4320"/>
                <w:tab w:val="clear" w:pos="8640"/>
              </w:tabs>
              <w:jc w:val="both"/>
              <w:rPr>
                <w:b/>
                <w:bCs/>
              </w:rPr>
            </w:pPr>
            <w:r w:rsidRPr="00A845FA">
              <w:rPr>
                <w:b/>
                <w:bCs/>
              </w:rPr>
              <w:t>Funding Under the Texas Emissions Reduction Plan</w:t>
            </w:r>
          </w:p>
          <w:p w14:paraId="28DECFE6" w14:textId="1E1585F2" w:rsidR="003C51AB" w:rsidRDefault="003C51AB" w:rsidP="00D266B1">
            <w:pPr>
              <w:pStyle w:val="Header"/>
              <w:tabs>
                <w:tab w:val="clear" w:pos="4320"/>
                <w:tab w:val="clear" w:pos="8640"/>
              </w:tabs>
              <w:jc w:val="both"/>
            </w:pPr>
          </w:p>
          <w:p w14:paraId="26DF5135" w14:textId="0DA63797" w:rsidR="003C51AB" w:rsidRDefault="00F50FD8" w:rsidP="00D266B1">
            <w:pPr>
              <w:pStyle w:val="Header"/>
              <w:tabs>
                <w:tab w:val="clear" w:pos="4320"/>
                <w:tab w:val="clear" w:pos="8640"/>
              </w:tabs>
              <w:jc w:val="both"/>
            </w:pPr>
            <w:r>
              <w:t xml:space="preserve">C.S.H.B. 4885 amends the </w:t>
            </w:r>
            <w:r w:rsidRPr="00C63DBB">
              <w:t>Health and Safety Code</w:t>
            </w:r>
            <w:r>
              <w:t xml:space="preserve"> to revise as follows the initial allocation of money from the </w:t>
            </w:r>
            <w:r w:rsidRPr="00DA7EB5">
              <w:t>Texas emissions reduction plan fund</w:t>
            </w:r>
            <w:r>
              <w:t xml:space="preserve"> and </w:t>
            </w:r>
            <w:r w:rsidRPr="00DA7EB5">
              <w:t>Texas emissions reduction plan account</w:t>
            </w:r>
            <w:r>
              <w:t xml:space="preserve"> that is to be used for specified programs under the </w:t>
            </w:r>
            <w:r w:rsidRPr="00DA7EB5">
              <w:t>Texas emissions reduction plan</w:t>
            </w:r>
            <w:r>
              <w:t>:</w:t>
            </w:r>
          </w:p>
          <w:p w14:paraId="57462C08" w14:textId="6EB5B1AC" w:rsidR="003C51AB" w:rsidRDefault="00F50FD8" w:rsidP="000E2F5B">
            <w:pPr>
              <w:pStyle w:val="Header"/>
              <w:numPr>
                <w:ilvl w:val="0"/>
                <w:numId w:val="1"/>
              </w:numPr>
              <w:tabs>
                <w:tab w:val="clear" w:pos="4320"/>
                <w:tab w:val="clear" w:pos="8640"/>
              </w:tabs>
              <w:jc w:val="both"/>
            </w:pPr>
            <w:r>
              <w:t>increasing from three</w:t>
            </w:r>
            <w:r w:rsidR="009D7185">
              <w:t xml:space="preserve"> percent</w:t>
            </w:r>
            <w:r>
              <w:t xml:space="preserve"> </w:t>
            </w:r>
            <w:r>
              <w:t>to eight</w:t>
            </w:r>
            <w:r w:rsidR="009D7185">
              <w:t xml:space="preserve"> percent total</w:t>
            </w:r>
            <w:r>
              <w:t xml:space="preserve"> the percentage that may be used </w:t>
            </w:r>
            <w:r w:rsidRPr="008C6C6B">
              <w:t>for the new technology implementation grant program</w:t>
            </w:r>
            <w:r w:rsidR="00611311">
              <w:t xml:space="preserve"> and providing for a maximum of </w:t>
            </w:r>
            <w:r w:rsidR="00611311" w:rsidRPr="00611311">
              <w:t>$8 million</w:t>
            </w:r>
            <w:r w:rsidR="00611311">
              <w:t xml:space="preserve"> of that percentage </w:t>
            </w:r>
            <w:r w:rsidR="00FD19A7">
              <w:t xml:space="preserve">to instead </w:t>
            </w:r>
            <w:r w:rsidR="00611311">
              <w:t xml:space="preserve">be </w:t>
            </w:r>
            <w:r w:rsidR="00611311" w:rsidRPr="00611311">
              <w:t>used for the Texas hydrogen infrastructure, vehicle, and equipment grant program</w:t>
            </w:r>
            <w:r w:rsidR="00611311">
              <w:t xml:space="preserve"> established by the bill</w:t>
            </w:r>
            <w:r>
              <w:t>;</w:t>
            </w:r>
          </w:p>
          <w:p w14:paraId="3A141EED" w14:textId="24B04262" w:rsidR="003C51AB" w:rsidRDefault="00F50FD8" w:rsidP="000E2F5B">
            <w:pPr>
              <w:pStyle w:val="Header"/>
              <w:numPr>
                <w:ilvl w:val="0"/>
                <w:numId w:val="1"/>
              </w:numPr>
              <w:tabs>
                <w:tab w:val="clear" w:pos="4320"/>
                <w:tab w:val="clear" w:pos="8640"/>
              </w:tabs>
              <w:jc w:val="both"/>
            </w:pPr>
            <w:r>
              <w:t xml:space="preserve">decreasing from 10 to </w:t>
            </w:r>
            <w:r w:rsidR="00611311">
              <w:t>7.5</w:t>
            </w:r>
            <w:r>
              <w:t xml:space="preserve"> the percentage that m</w:t>
            </w:r>
            <w:r w:rsidRPr="00DA7EB5">
              <w:t>ay be used for the Texas natural gas vehicle grant program</w:t>
            </w:r>
            <w:r>
              <w:t xml:space="preserve">; </w:t>
            </w:r>
          </w:p>
          <w:p w14:paraId="03E2E1F5" w14:textId="18EF6300" w:rsidR="00B22250" w:rsidRDefault="00F50FD8" w:rsidP="000E2F5B">
            <w:pPr>
              <w:pStyle w:val="Header"/>
              <w:numPr>
                <w:ilvl w:val="0"/>
                <w:numId w:val="1"/>
              </w:numPr>
              <w:tabs>
                <w:tab w:val="clear" w:pos="4320"/>
                <w:tab w:val="clear" w:pos="8640"/>
              </w:tabs>
              <w:jc w:val="both"/>
            </w:pPr>
            <w:r>
              <w:t xml:space="preserve">changing from </w:t>
            </w:r>
            <w:r w:rsidRPr="00611311">
              <w:t>$16 million</w:t>
            </w:r>
            <w:r>
              <w:t xml:space="preserve"> to </w:t>
            </w:r>
            <w:r w:rsidRPr="00611311">
              <w:t>15 percent</w:t>
            </w:r>
            <w:r>
              <w:t xml:space="preserve"> the maximum amount that may be used by the </w:t>
            </w:r>
            <w:r w:rsidR="00DC2E73" w:rsidRPr="00DC2E73">
              <w:t xml:space="preserve">Texas Commission on Environmental Quality </w:t>
            </w:r>
            <w:r w:rsidR="00DC2E73">
              <w:t>(</w:t>
            </w:r>
            <w:r>
              <w:t>TCEQ</w:t>
            </w:r>
            <w:r w:rsidR="00DC2E73">
              <w:t>)</w:t>
            </w:r>
            <w:r>
              <w:t xml:space="preserve"> </w:t>
            </w:r>
            <w:r w:rsidRPr="00611311">
              <w:t>for administrative costs</w:t>
            </w:r>
            <w:r>
              <w:t>;</w:t>
            </w:r>
            <w:r w:rsidR="00B16E7A">
              <w:t xml:space="preserve"> and</w:t>
            </w:r>
            <w:r>
              <w:t xml:space="preserve"> </w:t>
            </w:r>
          </w:p>
          <w:p w14:paraId="47F1695E" w14:textId="1183AF25" w:rsidR="003C51AB" w:rsidRDefault="00F50FD8" w:rsidP="000E2F5B">
            <w:pPr>
              <w:pStyle w:val="Header"/>
              <w:numPr>
                <w:ilvl w:val="0"/>
                <w:numId w:val="1"/>
              </w:numPr>
              <w:tabs>
                <w:tab w:val="clear" w:pos="4320"/>
                <w:tab w:val="clear" w:pos="8640"/>
              </w:tabs>
              <w:jc w:val="both"/>
            </w:pPr>
            <w:r>
              <w:t xml:space="preserve">decreasing from five to 2.5 the percentage that </w:t>
            </w:r>
            <w:r w:rsidRPr="00DA7EB5">
              <w:t>may be used for the light-duty motor vehicle purchase or lease incentive program</w:t>
            </w:r>
            <w:r>
              <w:t>.</w:t>
            </w:r>
          </w:p>
          <w:p w14:paraId="374EBDFD" w14:textId="77777777" w:rsidR="00D266B1" w:rsidRDefault="00D266B1" w:rsidP="00D266B1">
            <w:pPr>
              <w:pStyle w:val="Header"/>
              <w:tabs>
                <w:tab w:val="clear" w:pos="4320"/>
                <w:tab w:val="clear" w:pos="8640"/>
              </w:tabs>
              <w:jc w:val="both"/>
            </w:pPr>
          </w:p>
          <w:p w14:paraId="44DE7D26" w14:textId="7FAED43E" w:rsidR="00A54483" w:rsidRPr="00A845FA" w:rsidRDefault="00F50FD8" w:rsidP="00D266B1">
            <w:pPr>
              <w:pStyle w:val="Header"/>
              <w:tabs>
                <w:tab w:val="clear" w:pos="4320"/>
                <w:tab w:val="clear" w:pos="8640"/>
              </w:tabs>
              <w:jc w:val="both"/>
              <w:rPr>
                <w:b/>
                <w:bCs/>
              </w:rPr>
            </w:pPr>
            <w:r w:rsidRPr="00A845FA">
              <w:rPr>
                <w:b/>
                <w:bCs/>
              </w:rPr>
              <w:t>Texas Hydrogen Infrastructure, Vehicle, and Equipment Grant Program</w:t>
            </w:r>
          </w:p>
          <w:p w14:paraId="0545CFF7" w14:textId="77777777" w:rsidR="00AE730E" w:rsidRDefault="00AE730E" w:rsidP="00D266B1">
            <w:pPr>
              <w:pStyle w:val="Header"/>
              <w:tabs>
                <w:tab w:val="clear" w:pos="4320"/>
                <w:tab w:val="clear" w:pos="8640"/>
              </w:tabs>
              <w:jc w:val="both"/>
            </w:pPr>
          </w:p>
          <w:p w14:paraId="7D9E1AC0" w14:textId="619233E9" w:rsidR="007E6895" w:rsidRPr="00B16E7A" w:rsidRDefault="00F50FD8" w:rsidP="00D266B1">
            <w:pPr>
              <w:pStyle w:val="Header"/>
              <w:tabs>
                <w:tab w:val="clear" w:pos="4320"/>
                <w:tab w:val="clear" w:pos="8640"/>
              </w:tabs>
              <w:jc w:val="both"/>
            </w:pPr>
            <w:r>
              <w:t>C.S.</w:t>
            </w:r>
            <w:r>
              <w:t>H.B. 4885 require</w:t>
            </w:r>
            <w:r w:rsidR="00DC2E73">
              <w:t>s</w:t>
            </w:r>
            <w:r>
              <w:t xml:space="preserve"> the </w:t>
            </w:r>
            <w:r w:rsidRPr="009C28F8">
              <w:t>TCEQ</w:t>
            </w:r>
            <w:r>
              <w:t xml:space="preserve"> to establish and administer the Texas hydrogen infrastructure, vehicle, and equipment grant program to encourage the adoption of hydrogen infrastructure, vehicles, and equipment. The bill defines </w:t>
            </w:r>
            <w:r w:rsidRPr="009C28F8">
              <w:t>"</w:t>
            </w:r>
            <w:r>
              <w:t>h</w:t>
            </w:r>
            <w:r w:rsidRPr="009C28F8">
              <w:t>ydrogen vehicle</w:t>
            </w:r>
            <w:r>
              <w:t xml:space="preserve"> or equipment</w:t>
            </w:r>
            <w:r w:rsidRPr="009C28F8">
              <w:t xml:space="preserve">" </w:t>
            </w:r>
            <w:r>
              <w:t>a</w:t>
            </w:r>
            <w:r w:rsidRPr="009C28F8">
              <w:t xml:space="preserve">s a motor vehicle </w:t>
            </w:r>
            <w:r w:rsidRPr="00CC7A87">
              <w:t xml:space="preserve">or piece of heavy-duty equipment </w:t>
            </w:r>
            <w:r w:rsidRPr="009C28F8">
              <w:t>that uses hydrogen to operate the vehicle</w:t>
            </w:r>
            <w:r>
              <w:t xml:space="preserve"> or equipment</w:t>
            </w:r>
            <w:r w:rsidRPr="009C28F8">
              <w:t>, including through the use of hydrogen fuel cells or an internal combustion engine that runs on hydrogen.</w:t>
            </w:r>
            <w:r>
              <w:t xml:space="preserve"> The bill requires the TCEQ, under the progr</w:t>
            </w:r>
            <w:r>
              <w:t xml:space="preserve">am, to provide funding for eligible projects to offset the incremental cost of projects that reduce emissions of oxides of nitrogen from high-emitting sources </w:t>
            </w:r>
            <w:r w:rsidR="00E77282">
              <w:t xml:space="preserve">in </w:t>
            </w:r>
            <w:r w:rsidRPr="00CC7A87">
              <w:t xml:space="preserve">nonattainment areas and affected counties of </w:t>
            </w:r>
            <w:r w:rsidR="00E77282">
              <w:t>the state</w:t>
            </w:r>
            <w:r>
              <w:t xml:space="preserve">. </w:t>
            </w:r>
            <w:r w:rsidRPr="00B16E7A">
              <w:t>The bill requires the TCEQ and the com</w:t>
            </w:r>
            <w:r w:rsidRPr="00B16E7A">
              <w:t>ptroller of public accounts to provide grants or other funding for the program under the Texas emissions reduction plan.</w:t>
            </w:r>
          </w:p>
          <w:p w14:paraId="35753ACD" w14:textId="77777777" w:rsidR="007E6895" w:rsidRDefault="007E6895" w:rsidP="00D266B1">
            <w:pPr>
              <w:pStyle w:val="Header"/>
              <w:tabs>
                <w:tab w:val="clear" w:pos="4320"/>
                <w:tab w:val="clear" w:pos="8640"/>
              </w:tabs>
              <w:jc w:val="both"/>
            </w:pPr>
          </w:p>
          <w:p w14:paraId="6D5D9878" w14:textId="40DE6975" w:rsidR="007E6895" w:rsidRDefault="00F50FD8" w:rsidP="00D266B1">
            <w:pPr>
              <w:pStyle w:val="Header"/>
              <w:tabs>
                <w:tab w:val="clear" w:pos="4320"/>
                <w:tab w:val="clear" w:pos="8640"/>
              </w:tabs>
              <w:jc w:val="both"/>
            </w:pPr>
            <w:r>
              <w:t>C.S.H.B. 4885 requires the TCEQ to determine the eligibility of projects and includes the following as projects that may be considered</w:t>
            </w:r>
            <w:r>
              <w:t xml:space="preserve"> for a program grant:</w:t>
            </w:r>
          </w:p>
          <w:p w14:paraId="3AAF372B" w14:textId="77777777" w:rsidR="007E6895" w:rsidRDefault="00F50FD8" w:rsidP="000E2F5B">
            <w:pPr>
              <w:pStyle w:val="Header"/>
              <w:numPr>
                <w:ilvl w:val="0"/>
                <w:numId w:val="3"/>
              </w:numPr>
              <w:jc w:val="both"/>
            </w:pPr>
            <w:r>
              <w:t>implementation of hydrogen infrastructure projects;</w:t>
            </w:r>
          </w:p>
          <w:p w14:paraId="6EE444F6" w14:textId="69FA7F0E" w:rsidR="007E6895" w:rsidRDefault="00F50FD8" w:rsidP="000E2F5B">
            <w:pPr>
              <w:pStyle w:val="Header"/>
              <w:numPr>
                <w:ilvl w:val="0"/>
                <w:numId w:val="3"/>
              </w:numPr>
              <w:jc w:val="both"/>
            </w:pPr>
            <w:r>
              <w:t>purchase or lease of on-road or non-road hydrogen vehicles</w:t>
            </w:r>
            <w:r w:rsidR="00E77282">
              <w:t xml:space="preserve"> or equipment</w:t>
            </w:r>
            <w:r>
              <w:t>;</w:t>
            </w:r>
          </w:p>
          <w:p w14:paraId="46367120" w14:textId="55A91D3A" w:rsidR="007E6895" w:rsidRDefault="00F50FD8" w:rsidP="000E2F5B">
            <w:pPr>
              <w:pStyle w:val="Header"/>
              <w:numPr>
                <w:ilvl w:val="0"/>
                <w:numId w:val="3"/>
              </w:numPr>
              <w:jc w:val="both"/>
            </w:pPr>
            <w:r>
              <w:t>replacement of on-road or non-road vehicles</w:t>
            </w:r>
            <w:r w:rsidR="00E77282">
              <w:t xml:space="preserve"> or </w:t>
            </w:r>
            <w:r w:rsidR="00E77282" w:rsidRPr="00E77282">
              <w:t>heavy-duty equipment</w:t>
            </w:r>
            <w:r>
              <w:t xml:space="preserve"> with newer on</w:t>
            </w:r>
            <w:r w:rsidR="00331216">
              <w:noBreakHyphen/>
            </w:r>
            <w:r>
              <w:t>road or non-road hydrogen v</w:t>
            </w:r>
            <w:r>
              <w:t>ehicles</w:t>
            </w:r>
            <w:r w:rsidR="00E77282">
              <w:t xml:space="preserve"> </w:t>
            </w:r>
            <w:r w:rsidR="00E77282" w:rsidRPr="00E77282">
              <w:t>or equipment</w:t>
            </w:r>
            <w:r>
              <w:t xml:space="preserve">; </w:t>
            </w:r>
          </w:p>
          <w:p w14:paraId="65A8BDCB" w14:textId="73EF5B2A" w:rsidR="00E77282" w:rsidRDefault="00F50FD8" w:rsidP="000E2F5B">
            <w:pPr>
              <w:pStyle w:val="Header"/>
              <w:numPr>
                <w:ilvl w:val="0"/>
                <w:numId w:val="3"/>
              </w:numPr>
              <w:jc w:val="both"/>
            </w:pPr>
            <w:r w:rsidRPr="00E77282">
              <w:t>the repower of on-road or non-road vehicles or heavy-duty equipment with engines that run on or are powered by hydrogen; and</w:t>
            </w:r>
          </w:p>
          <w:p w14:paraId="319EB7DC" w14:textId="77777777" w:rsidR="007E6895" w:rsidRDefault="00F50FD8" w:rsidP="000E2F5B">
            <w:pPr>
              <w:pStyle w:val="Header"/>
              <w:numPr>
                <w:ilvl w:val="0"/>
                <w:numId w:val="3"/>
              </w:numPr>
              <w:jc w:val="both"/>
            </w:pPr>
            <w:r>
              <w:t>use of hydrogen fuel.</w:t>
            </w:r>
          </w:p>
          <w:p w14:paraId="31004798" w14:textId="77777777" w:rsidR="007E6895" w:rsidRDefault="00F50FD8" w:rsidP="00D266B1">
            <w:pPr>
              <w:pStyle w:val="Header"/>
              <w:jc w:val="both"/>
            </w:pPr>
            <w:r>
              <w:t>The bill makes such a listed project ineligible if it is required by any state or fede</w:t>
            </w:r>
            <w:r>
              <w:t>ral law, rule or regulation, memorandum of agreement, or other legally binding document, but exempts the following from such ineligibility:</w:t>
            </w:r>
          </w:p>
          <w:p w14:paraId="72C74F6F" w14:textId="6DA1D17F" w:rsidR="007E6895" w:rsidRDefault="00F50FD8" w:rsidP="000E2F5B">
            <w:pPr>
              <w:pStyle w:val="Header"/>
              <w:numPr>
                <w:ilvl w:val="0"/>
                <w:numId w:val="4"/>
              </w:numPr>
              <w:jc w:val="both"/>
            </w:pPr>
            <w:r>
              <w:t xml:space="preserve">an otherwise qualified project, regardless of the fact that the state implementation plan assumes that the </w:t>
            </w:r>
            <w:r>
              <w:t>change in</w:t>
            </w:r>
            <w:r w:rsidR="00E77282">
              <w:t xml:space="preserve"> vehicles,</w:t>
            </w:r>
            <w:r>
              <w:t xml:space="preserve"> equipment, or operations will occur, if on the date the grant is awarded the change is not required by any state or federal law, rule or regulation, memorandum of agreement, or other legally binding document; and</w:t>
            </w:r>
          </w:p>
          <w:p w14:paraId="633F3E86" w14:textId="45A13E30" w:rsidR="007E6895" w:rsidRDefault="00F50FD8" w:rsidP="000E2F5B">
            <w:pPr>
              <w:pStyle w:val="Header"/>
              <w:numPr>
                <w:ilvl w:val="0"/>
                <w:numId w:val="4"/>
              </w:numPr>
              <w:jc w:val="both"/>
            </w:pPr>
            <w:r>
              <w:t>the purchase of a hydro</w:t>
            </w:r>
            <w:r>
              <w:t xml:space="preserve">gen vehicle </w:t>
            </w:r>
            <w:r w:rsidR="00E77282" w:rsidRPr="00E77282">
              <w:t xml:space="preserve">or equipment </w:t>
            </w:r>
            <w:r>
              <w:t>or facility required only by local law or regulation or by corporate or controlling board policy of a public or private entity.</w:t>
            </w:r>
          </w:p>
          <w:p w14:paraId="0C4E756C" w14:textId="77777777" w:rsidR="007E6895" w:rsidRDefault="007E6895" w:rsidP="00D266B1">
            <w:pPr>
              <w:pStyle w:val="Header"/>
              <w:jc w:val="both"/>
            </w:pPr>
          </w:p>
          <w:p w14:paraId="486766ED" w14:textId="73EEE620" w:rsidR="007E6895" w:rsidRDefault="00F50FD8" w:rsidP="00D266B1">
            <w:pPr>
              <w:pStyle w:val="Header"/>
              <w:tabs>
                <w:tab w:val="clear" w:pos="4320"/>
                <w:tab w:val="clear" w:pos="8640"/>
              </w:tabs>
              <w:jc w:val="both"/>
            </w:pPr>
            <w:r>
              <w:t>C.S.H.B. 4885 requires the TCEQ to develop a simple, standardized application package for program gran</w:t>
            </w:r>
            <w:r>
              <w:t>ts and sets out the package's required contents, including an application form that must require as much information as the TCEQ determines is necessary to properly evaluate each project but that must otherwise minimize the information required. The bill s</w:t>
            </w:r>
            <w:r>
              <w:t>ets out application review procedures and related TCEQ duties and provides for grounds for application denial. The bill requires the TCEQ, subject to availability of funds, to award a grant in conjunction with the execution of a contract that obligates the</w:t>
            </w:r>
            <w:r>
              <w:t xml:space="preserve"> TCEQ to make the grant and the recipient to perform the actions described in the recipient's grant application. The contract must incorporate provisions for recapturing grant money in proportion to any loss of emissions reductions compared with the volume</w:t>
            </w:r>
            <w:r>
              <w:t xml:space="preserve"> of emissions reductions that was projected in awarding the grant. The bill requires grant money recaptured under the contract provision to be deposited in the </w:t>
            </w:r>
            <w:r w:rsidRPr="00EA61B1">
              <w:t>Texas emissions reduction plan fund</w:t>
            </w:r>
            <w:r>
              <w:t xml:space="preserve"> and reallocated for other projects under the </w:t>
            </w:r>
            <w:r w:rsidRPr="00EA61B1">
              <w:t>Texas emissions</w:t>
            </w:r>
            <w:r w:rsidRPr="00EA61B1">
              <w:t xml:space="preserve"> reduction plan</w:t>
            </w:r>
            <w:r>
              <w:t>.</w:t>
            </w:r>
          </w:p>
          <w:p w14:paraId="73419C64" w14:textId="37198CBC" w:rsidR="00A54483" w:rsidRDefault="00A54483" w:rsidP="00D266B1">
            <w:pPr>
              <w:pStyle w:val="Header"/>
              <w:tabs>
                <w:tab w:val="clear" w:pos="4320"/>
                <w:tab w:val="clear" w:pos="8640"/>
              </w:tabs>
              <w:jc w:val="both"/>
            </w:pPr>
          </w:p>
          <w:p w14:paraId="6A38E222" w14:textId="30F41058" w:rsidR="00A54483" w:rsidRPr="00A845FA" w:rsidRDefault="00F50FD8" w:rsidP="00D266B1">
            <w:pPr>
              <w:pStyle w:val="Header"/>
              <w:tabs>
                <w:tab w:val="clear" w:pos="4320"/>
                <w:tab w:val="clear" w:pos="8640"/>
              </w:tabs>
              <w:jc w:val="both"/>
              <w:rPr>
                <w:b/>
                <w:bCs/>
              </w:rPr>
            </w:pPr>
            <w:r w:rsidRPr="00A845FA">
              <w:rPr>
                <w:b/>
                <w:bCs/>
              </w:rPr>
              <w:t>New Technology Implementation Grant Program</w:t>
            </w:r>
          </w:p>
          <w:p w14:paraId="505D4C7D" w14:textId="435C9DC8" w:rsidR="003C51AB" w:rsidRDefault="003C51AB" w:rsidP="00D266B1">
            <w:pPr>
              <w:pStyle w:val="Header"/>
              <w:tabs>
                <w:tab w:val="clear" w:pos="4320"/>
                <w:tab w:val="clear" w:pos="8640"/>
              </w:tabs>
              <w:jc w:val="both"/>
            </w:pPr>
          </w:p>
          <w:p w14:paraId="3D45AA18" w14:textId="20183CD2" w:rsidR="007E6895" w:rsidRDefault="00F50FD8" w:rsidP="00D266B1">
            <w:pPr>
              <w:pStyle w:val="Header"/>
              <w:tabs>
                <w:tab w:val="clear" w:pos="4320"/>
                <w:tab w:val="clear" w:pos="8640"/>
              </w:tabs>
              <w:jc w:val="both"/>
            </w:pPr>
            <w:r>
              <w:t>C.S.</w:t>
            </w:r>
            <w:r w:rsidR="00CC7A87">
              <w:t xml:space="preserve">H.B. </w:t>
            </w:r>
            <w:r>
              <w:t>4885</w:t>
            </w:r>
            <w:r w:rsidR="00CC7A87">
              <w:t xml:space="preserve"> replace</w:t>
            </w:r>
            <w:r w:rsidR="00DC2E73">
              <w:t>s</w:t>
            </w:r>
            <w:r w:rsidR="00CC7A87">
              <w:t xml:space="preserve"> the specification that a new technology project eligible to be considered for a grant under the </w:t>
            </w:r>
            <w:r w:rsidR="00230562">
              <w:t>TCEQ</w:t>
            </w:r>
            <w:r w:rsidR="00CC7A87">
              <w:t xml:space="preserve">'s </w:t>
            </w:r>
            <w:r w:rsidR="00CC7A87" w:rsidRPr="00BA5557">
              <w:t>new technology implementation grant program</w:t>
            </w:r>
            <w:r w:rsidR="00CC7A87">
              <w:t xml:space="preserve"> is a project that reduces </w:t>
            </w:r>
            <w:r w:rsidR="00CC7A87" w:rsidRPr="00BA5557">
              <w:t>emissions from upstream and midstream oil and gas production, completions, gathering, storage, processing, and transmission activities through</w:t>
            </w:r>
            <w:r w:rsidR="00CC7A87">
              <w:t xml:space="preserve"> an applicable method with a specification that such a project reduces emissions from any of those upstream or midstream oil and gas activities through an applicable method. The bill includes as such an eligible project a project that reduces </w:t>
            </w:r>
            <w:r w:rsidR="00CC7A87" w:rsidRPr="0065339E">
              <w:t>emissions</w:t>
            </w:r>
            <w:r w:rsidR="00CC7A87">
              <w:t xml:space="preserve"> from any of those oil and gas activities that are downstream through an applicable method.   </w:t>
            </w:r>
          </w:p>
          <w:p w14:paraId="073E9594" w14:textId="06FCF6A2" w:rsidR="00B22250" w:rsidRDefault="00B22250" w:rsidP="00D266B1">
            <w:pPr>
              <w:pStyle w:val="Header"/>
              <w:tabs>
                <w:tab w:val="clear" w:pos="4320"/>
                <w:tab w:val="clear" w:pos="8640"/>
              </w:tabs>
              <w:jc w:val="both"/>
            </w:pPr>
          </w:p>
          <w:p w14:paraId="318E4A3E" w14:textId="505496A5" w:rsidR="00B22250" w:rsidRPr="00A845FA" w:rsidRDefault="00F50FD8" w:rsidP="00D266B1">
            <w:pPr>
              <w:pStyle w:val="Header"/>
              <w:tabs>
                <w:tab w:val="clear" w:pos="4320"/>
                <w:tab w:val="clear" w:pos="8640"/>
              </w:tabs>
              <w:jc w:val="both"/>
              <w:rPr>
                <w:b/>
                <w:bCs/>
              </w:rPr>
            </w:pPr>
            <w:r w:rsidRPr="00A845FA">
              <w:rPr>
                <w:b/>
                <w:bCs/>
              </w:rPr>
              <w:t>Texas Natural Gas V</w:t>
            </w:r>
            <w:r w:rsidRPr="00A845FA">
              <w:rPr>
                <w:b/>
                <w:bCs/>
              </w:rPr>
              <w:t>ehicle Grant Program</w:t>
            </w:r>
          </w:p>
          <w:p w14:paraId="4FD7F853" w14:textId="77777777" w:rsidR="00F15831" w:rsidRDefault="00F15831" w:rsidP="00D266B1">
            <w:pPr>
              <w:pStyle w:val="Header"/>
              <w:tabs>
                <w:tab w:val="clear" w:pos="4320"/>
                <w:tab w:val="clear" w:pos="8640"/>
              </w:tabs>
              <w:jc w:val="both"/>
            </w:pPr>
          </w:p>
          <w:p w14:paraId="2833AA11" w14:textId="643B150D" w:rsidR="007E1380" w:rsidRDefault="00F50FD8" w:rsidP="00D266B1">
            <w:pPr>
              <w:pStyle w:val="Header"/>
              <w:tabs>
                <w:tab w:val="clear" w:pos="4320"/>
                <w:tab w:val="clear" w:pos="8640"/>
              </w:tabs>
              <w:jc w:val="both"/>
            </w:pPr>
            <w:r>
              <w:t>C.S.H.B. 4885 revise</w:t>
            </w:r>
            <w:r w:rsidR="00A70C72">
              <w:t>s</w:t>
            </w:r>
            <w:r>
              <w:t xml:space="preserve"> the requirements for a grant under the </w:t>
            </w:r>
            <w:r w:rsidR="00F10331" w:rsidRPr="00F10331">
              <w:t xml:space="preserve">Texas natural gas vehicle grant </w:t>
            </w:r>
            <w:r>
              <w:t>program as follows:</w:t>
            </w:r>
          </w:p>
          <w:p w14:paraId="61100399" w14:textId="29D5AD5A" w:rsidR="007E1380" w:rsidRDefault="00F50FD8" w:rsidP="000E2F5B">
            <w:pPr>
              <w:pStyle w:val="Header"/>
              <w:numPr>
                <w:ilvl w:val="0"/>
                <w:numId w:val="2"/>
              </w:numPr>
              <w:tabs>
                <w:tab w:val="clear" w:pos="4320"/>
                <w:tab w:val="clear" w:pos="8640"/>
              </w:tabs>
              <w:jc w:val="both"/>
            </w:pPr>
            <w:r>
              <w:t xml:space="preserve">removes the requirement that a minimum of </w:t>
            </w:r>
            <w:r w:rsidRPr="005E10A6">
              <w:t xml:space="preserve">75 percent of the annual use of </w:t>
            </w:r>
            <w:r>
              <w:t>a</w:t>
            </w:r>
            <w:r w:rsidRPr="005E10A6">
              <w:t xml:space="preserve"> qualifying vehicle</w:t>
            </w:r>
            <w:r w:rsidR="00F10331" w:rsidRPr="00F10331">
              <w:t xml:space="preserve">, either mileage or fuel use as determined by the TCEQ, </w:t>
            </w:r>
            <w:r w:rsidRPr="005E10A6">
              <w:t>occur in the clean transportation zone</w:t>
            </w:r>
            <w:r>
              <w:t>; and</w:t>
            </w:r>
          </w:p>
          <w:p w14:paraId="3E66F1FA" w14:textId="77777777" w:rsidR="007E1380" w:rsidRDefault="00F50FD8" w:rsidP="000E2F5B">
            <w:pPr>
              <w:pStyle w:val="Header"/>
              <w:numPr>
                <w:ilvl w:val="0"/>
                <w:numId w:val="2"/>
              </w:numPr>
              <w:tabs>
                <w:tab w:val="clear" w:pos="4320"/>
                <w:tab w:val="clear" w:pos="8640"/>
              </w:tabs>
              <w:jc w:val="both"/>
            </w:pPr>
            <w:r>
              <w:t xml:space="preserve">with respect to a grant for the replacement of a heavy-duty or medium-duty </w:t>
            </w:r>
            <w:r w:rsidRPr="00033DCE">
              <w:t>motor</w:t>
            </w:r>
            <w:r>
              <w:t xml:space="preserve"> fleet</w:t>
            </w:r>
            <w:r w:rsidRPr="00033DCE">
              <w:t xml:space="preserve"> </w:t>
            </w:r>
            <w:r w:rsidRPr="008F0CAB">
              <w:t>vehicle</w:t>
            </w:r>
            <w:r>
              <w:t xml:space="preserve">, replaces the requirement for the vehicle being replaced to have been registered in </w:t>
            </w:r>
            <w:r w:rsidRPr="00917C5A">
              <w:t xml:space="preserve">a </w:t>
            </w:r>
            <w:r w:rsidRPr="00917C5A">
              <w:t>county located in the clean transportation zone</w:t>
            </w:r>
            <w:r>
              <w:t xml:space="preserve"> for a certain period of time with a requirement for the vehicle to have been registered anywhere in Texas for that period.</w:t>
            </w:r>
          </w:p>
          <w:p w14:paraId="661B4E08" w14:textId="4024DA66" w:rsidR="00A70C72" w:rsidRDefault="00A70C72" w:rsidP="00D266B1">
            <w:pPr>
              <w:pStyle w:val="Header"/>
              <w:tabs>
                <w:tab w:val="clear" w:pos="4320"/>
                <w:tab w:val="clear" w:pos="8640"/>
              </w:tabs>
              <w:jc w:val="both"/>
            </w:pPr>
          </w:p>
          <w:p w14:paraId="711B8E81" w14:textId="7D77CB9F" w:rsidR="00F10331" w:rsidRDefault="00F50FD8" w:rsidP="00D266B1">
            <w:pPr>
              <w:pStyle w:val="Header"/>
              <w:jc w:val="both"/>
            </w:pPr>
            <w:r>
              <w:t xml:space="preserve">C.S.H.B. 4885 requires the criteria that </w:t>
            </w:r>
            <w:r w:rsidR="0034206B">
              <w:t xml:space="preserve">are </w:t>
            </w:r>
            <w:r>
              <w:t xml:space="preserve">established by the TCEQ </w:t>
            </w:r>
            <w:r w:rsidRPr="00F15831">
              <w:t>for prioritizin</w:t>
            </w:r>
            <w:r w:rsidRPr="00F15831">
              <w:t xml:space="preserve">g qualifying vehicles eligible </w:t>
            </w:r>
            <w:r w:rsidR="00DC4E9E">
              <w:t>for</w:t>
            </w:r>
            <w:r w:rsidRPr="00F15831">
              <w:t xml:space="preserve"> grants under the program</w:t>
            </w:r>
            <w:r>
              <w:t xml:space="preserve"> to prioritize the awarding of grants in the following order:</w:t>
            </w:r>
          </w:p>
          <w:p w14:paraId="4936D915" w14:textId="77777777" w:rsidR="00F10331" w:rsidRDefault="00F50FD8" w:rsidP="000E2F5B">
            <w:pPr>
              <w:pStyle w:val="Header"/>
              <w:numPr>
                <w:ilvl w:val="0"/>
                <w:numId w:val="5"/>
              </w:numPr>
              <w:jc w:val="both"/>
            </w:pPr>
            <w:r>
              <w:t>qualifying vehicles for which not less than 75 percent of the annual use of the vehicle, either in terms of mileage or fuel use as dete</w:t>
            </w:r>
            <w:r>
              <w:t>rmined by the TCEQ, will occur in the clean transportation zone;</w:t>
            </w:r>
          </w:p>
          <w:p w14:paraId="242C3785" w14:textId="05682EDD" w:rsidR="00F10331" w:rsidRDefault="00F50FD8" w:rsidP="000E2F5B">
            <w:pPr>
              <w:pStyle w:val="Header"/>
              <w:numPr>
                <w:ilvl w:val="0"/>
                <w:numId w:val="5"/>
              </w:numPr>
              <w:tabs>
                <w:tab w:val="clear" w:pos="4320"/>
                <w:tab w:val="clear" w:pos="8640"/>
              </w:tabs>
              <w:jc w:val="both"/>
            </w:pPr>
            <w:r>
              <w:t>qualifying vehicles</w:t>
            </w:r>
            <w:r w:rsidR="00616182">
              <w:t>,</w:t>
            </w:r>
            <w:r>
              <w:t xml:space="preserve"> other than those </w:t>
            </w:r>
            <w:r w:rsidR="00616182">
              <w:t>prioritized higher,</w:t>
            </w:r>
            <w:r>
              <w:t xml:space="preserve"> for which not less than 75 percent of the annual use of the vehicle, either in terms of mileage or fuel use as determined by the TCEQ, will occur in counties in which an interstate highway is located or in a combination of such counties and the clean tran</w:t>
            </w:r>
            <w:r>
              <w:t xml:space="preserve">sportation zone; and </w:t>
            </w:r>
          </w:p>
          <w:p w14:paraId="60DB55CB" w14:textId="77CB997B" w:rsidR="00F10331" w:rsidRDefault="00F50FD8" w:rsidP="000E2F5B">
            <w:pPr>
              <w:pStyle w:val="Header"/>
              <w:numPr>
                <w:ilvl w:val="0"/>
                <w:numId w:val="5"/>
              </w:numPr>
              <w:tabs>
                <w:tab w:val="clear" w:pos="4320"/>
                <w:tab w:val="clear" w:pos="8640"/>
              </w:tabs>
              <w:jc w:val="both"/>
            </w:pPr>
            <w:r>
              <w:t>qualifying vehicles</w:t>
            </w:r>
            <w:r w:rsidR="00616182">
              <w:t>, o</w:t>
            </w:r>
            <w:r w:rsidR="0034206B">
              <w:t>ther</w:t>
            </w:r>
            <w:r w:rsidR="00616182">
              <w:t xml:space="preserve"> than those prioritized higher, </w:t>
            </w:r>
            <w:r>
              <w:t>that will</w:t>
            </w:r>
            <w:r w:rsidR="00616182">
              <w:t xml:space="preserve"> otherwise</w:t>
            </w:r>
            <w:r>
              <w:t xml:space="preserve"> produce the greatest emissions reductions.</w:t>
            </w:r>
          </w:p>
          <w:p w14:paraId="4ADF3C5D" w14:textId="77777777" w:rsidR="00F10331" w:rsidRPr="00B22250" w:rsidRDefault="00F10331" w:rsidP="00D266B1">
            <w:pPr>
              <w:pStyle w:val="Header"/>
              <w:tabs>
                <w:tab w:val="clear" w:pos="4320"/>
                <w:tab w:val="clear" w:pos="8640"/>
              </w:tabs>
              <w:jc w:val="both"/>
            </w:pPr>
          </w:p>
          <w:p w14:paraId="6A7CD421" w14:textId="45833F00" w:rsidR="00B22250" w:rsidRPr="00A845FA" w:rsidRDefault="00F50FD8" w:rsidP="00D266B1">
            <w:pPr>
              <w:pStyle w:val="Header"/>
              <w:tabs>
                <w:tab w:val="clear" w:pos="4320"/>
                <w:tab w:val="clear" w:pos="8640"/>
              </w:tabs>
              <w:jc w:val="both"/>
              <w:rPr>
                <w:b/>
                <w:bCs/>
              </w:rPr>
            </w:pPr>
            <w:r w:rsidRPr="00A845FA">
              <w:rPr>
                <w:b/>
                <w:bCs/>
              </w:rPr>
              <w:t>Procedural Provision</w:t>
            </w:r>
          </w:p>
          <w:p w14:paraId="070C3584" w14:textId="77777777" w:rsidR="00B22250" w:rsidRDefault="00B22250" w:rsidP="00D266B1">
            <w:pPr>
              <w:pStyle w:val="Header"/>
              <w:tabs>
                <w:tab w:val="clear" w:pos="4320"/>
                <w:tab w:val="clear" w:pos="8640"/>
              </w:tabs>
              <w:jc w:val="both"/>
              <w:rPr>
                <w:highlight w:val="yellow"/>
              </w:rPr>
            </w:pPr>
          </w:p>
          <w:p w14:paraId="074EF457" w14:textId="7F092D67" w:rsidR="007E1380" w:rsidRPr="00A70C72" w:rsidRDefault="00F50FD8" w:rsidP="00D266B1">
            <w:pPr>
              <w:pStyle w:val="Header"/>
              <w:tabs>
                <w:tab w:val="clear" w:pos="4320"/>
                <w:tab w:val="clear" w:pos="8640"/>
              </w:tabs>
              <w:jc w:val="both"/>
            </w:pPr>
            <w:r>
              <w:t xml:space="preserve">C.S.H.B. 4885 </w:t>
            </w:r>
            <w:r w:rsidRPr="00A70C72">
              <w:t>applies only to a grant awarded on or after the bill's effective date.</w:t>
            </w:r>
          </w:p>
          <w:p w14:paraId="67CFA0B3" w14:textId="77777777" w:rsidR="008423E4" w:rsidRPr="00835628" w:rsidRDefault="008423E4" w:rsidP="00D266B1">
            <w:pPr>
              <w:rPr>
                <w:b/>
              </w:rPr>
            </w:pPr>
          </w:p>
        </w:tc>
      </w:tr>
      <w:tr w:rsidR="00E14AF8" w14:paraId="21216B01" w14:textId="77777777" w:rsidTr="00345119">
        <w:tc>
          <w:tcPr>
            <w:tcW w:w="9576" w:type="dxa"/>
          </w:tcPr>
          <w:p w14:paraId="0CF870A0" w14:textId="77777777" w:rsidR="008423E4" w:rsidRPr="00A8133F" w:rsidRDefault="00F50FD8" w:rsidP="00D266B1">
            <w:pPr>
              <w:rPr>
                <w:b/>
              </w:rPr>
            </w:pPr>
            <w:r w:rsidRPr="009C1E9A">
              <w:rPr>
                <w:b/>
                <w:u w:val="single"/>
              </w:rPr>
              <w:t>EFF</w:t>
            </w:r>
            <w:r w:rsidRPr="009C1E9A">
              <w:rPr>
                <w:b/>
                <w:u w:val="single"/>
              </w:rPr>
              <w:t>ECTIVE DATE</w:t>
            </w:r>
            <w:r>
              <w:rPr>
                <w:b/>
              </w:rPr>
              <w:t xml:space="preserve"> </w:t>
            </w:r>
          </w:p>
          <w:p w14:paraId="32056DA3" w14:textId="77777777" w:rsidR="008423E4" w:rsidRDefault="008423E4" w:rsidP="00D266B1"/>
          <w:p w14:paraId="154BD2F2" w14:textId="71A588C0" w:rsidR="008423E4" w:rsidRPr="003624F2" w:rsidRDefault="00F50FD8" w:rsidP="00D266B1">
            <w:pPr>
              <w:pStyle w:val="Header"/>
              <w:tabs>
                <w:tab w:val="clear" w:pos="4320"/>
                <w:tab w:val="clear" w:pos="8640"/>
              </w:tabs>
              <w:jc w:val="both"/>
            </w:pPr>
            <w:r>
              <w:t>September 1, 2023.</w:t>
            </w:r>
          </w:p>
          <w:p w14:paraId="18E84164" w14:textId="77777777" w:rsidR="008423E4" w:rsidRPr="00233FDB" w:rsidRDefault="008423E4" w:rsidP="00D266B1">
            <w:pPr>
              <w:rPr>
                <w:b/>
              </w:rPr>
            </w:pPr>
          </w:p>
        </w:tc>
      </w:tr>
      <w:tr w:rsidR="00E14AF8" w14:paraId="26C0ED57" w14:textId="77777777" w:rsidTr="00345119">
        <w:tc>
          <w:tcPr>
            <w:tcW w:w="9576" w:type="dxa"/>
          </w:tcPr>
          <w:p w14:paraId="1A12B864" w14:textId="77777777" w:rsidR="00522841" w:rsidRDefault="00F50FD8" w:rsidP="00D266B1">
            <w:pPr>
              <w:jc w:val="both"/>
              <w:rPr>
                <w:b/>
                <w:u w:val="single"/>
              </w:rPr>
            </w:pPr>
            <w:r>
              <w:rPr>
                <w:b/>
                <w:u w:val="single"/>
              </w:rPr>
              <w:t>COMPARISON OF INTRODUCED AND SUBSTITUTE</w:t>
            </w:r>
          </w:p>
          <w:p w14:paraId="640687C3" w14:textId="77777777" w:rsidR="001B73B8" w:rsidRDefault="001B73B8" w:rsidP="00D266B1">
            <w:pPr>
              <w:jc w:val="both"/>
            </w:pPr>
          </w:p>
          <w:p w14:paraId="4EFA0A72" w14:textId="5341F2A0" w:rsidR="001B73B8" w:rsidRDefault="00F50FD8" w:rsidP="00D266B1">
            <w:pPr>
              <w:jc w:val="both"/>
            </w:pPr>
            <w:r>
              <w:t>While C.S.H.B. 4885 may differ from the introduced in minor or nonsubstantive</w:t>
            </w:r>
            <w:r>
              <w:t xml:space="preserve"> ways, the following summarizes the substantial differences between the introduced and committee substitute versions of the bill.</w:t>
            </w:r>
          </w:p>
          <w:p w14:paraId="2ADBD138" w14:textId="63436A15" w:rsidR="001B73B8" w:rsidRDefault="001B73B8" w:rsidP="00D266B1">
            <w:pPr>
              <w:jc w:val="both"/>
            </w:pPr>
          </w:p>
          <w:p w14:paraId="5BF9E4AB" w14:textId="5861649A" w:rsidR="008A7C45" w:rsidRDefault="00F50FD8" w:rsidP="00D266B1">
            <w:pPr>
              <w:jc w:val="both"/>
            </w:pPr>
            <w:r>
              <w:t xml:space="preserve">The substitute differs from the introduced </w:t>
            </w:r>
            <w:r w:rsidR="00FD19A7">
              <w:t xml:space="preserve">in the following ways </w:t>
            </w:r>
            <w:r>
              <w:t xml:space="preserve">with respect to </w:t>
            </w:r>
            <w:r w:rsidRPr="008A7C45">
              <w:t>the initial allocation of money from the Texas emissions reduction plan fund and Texas emissions reduction plan account that is to be used for specified programs under the Texas emissions reduction plan</w:t>
            </w:r>
            <w:r w:rsidR="00FD19A7">
              <w:t>:</w:t>
            </w:r>
          </w:p>
          <w:p w14:paraId="2B5D49BA" w14:textId="1E1FB24B" w:rsidR="00FD19A7" w:rsidRDefault="00F50FD8" w:rsidP="000E2F5B">
            <w:pPr>
              <w:pStyle w:val="ListParagraph"/>
              <w:numPr>
                <w:ilvl w:val="0"/>
                <w:numId w:val="8"/>
              </w:numPr>
              <w:jc w:val="both"/>
            </w:pPr>
            <w:r>
              <w:t xml:space="preserve">whereas the introduced provided for a maximum of </w:t>
            </w:r>
            <w:r w:rsidRPr="00FD19A7">
              <w:t xml:space="preserve">$8 </w:t>
            </w:r>
            <w:r w:rsidRPr="00FD19A7">
              <w:t xml:space="preserve">million </w:t>
            </w:r>
            <w:r w:rsidR="001B07C6">
              <w:t xml:space="preserve">that </w:t>
            </w:r>
            <w:r w:rsidRPr="00FD19A7">
              <w:t>may be used for hydrogen infrastructure and vehicles</w:t>
            </w:r>
            <w:r w:rsidR="001B07C6">
              <w:t xml:space="preserve"> under the</w:t>
            </w:r>
            <w:r w:rsidR="001B07C6" w:rsidRPr="001B07C6">
              <w:t xml:space="preserve"> new technology implementation grant program</w:t>
            </w:r>
            <w:r>
              <w:t>,</w:t>
            </w:r>
            <w:r w:rsidR="001B07C6">
              <w:t xml:space="preserve"> </w:t>
            </w:r>
            <w:r>
              <w:t xml:space="preserve">the substitute </w:t>
            </w:r>
            <w:r w:rsidR="001B07C6">
              <w:t xml:space="preserve">instead provides for such a maximum amount to </w:t>
            </w:r>
            <w:r w:rsidR="001B07C6" w:rsidRPr="001B07C6">
              <w:t>be used for the Texas hydrogen infrastructure, vehicle, and equipment grant program</w:t>
            </w:r>
            <w:r>
              <w:t xml:space="preserve"> that is specific to the substitute's provisions</w:t>
            </w:r>
            <w:r w:rsidR="001B07C6">
              <w:t xml:space="preserve">; </w:t>
            </w:r>
          </w:p>
          <w:p w14:paraId="70BD5A73" w14:textId="5F93112A" w:rsidR="00B1115B" w:rsidRDefault="00F50FD8" w:rsidP="000E2F5B">
            <w:pPr>
              <w:pStyle w:val="ListParagraph"/>
              <w:numPr>
                <w:ilvl w:val="0"/>
                <w:numId w:val="8"/>
              </w:numPr>
              <w:jc w:val="both"/>
            </w:pPr>
            <w:r>
              <w:t xml:space="preserve">the substitute </w:t>
            </w:r>
            <w:r w:rsidR="00FA7EB9">
              <w:t>omits</w:t>
            </w:r>
            <w:r>
              <w:t xml:space="preserve"> a </w:t>
            </w:r>
            <w:r w:rsidRPr="00B1115B">
              <w:t>provision in the introduced</w:t>
            </w:r>
            <w:r>
              <w:t xml:space="preserve"> that increases from five to </w:t>
            </w:r>
            <w:r w:rsidRPr="00B1115B">
              <w:t>7.5</w:t>
            </w:r>
            <w:r w:rsidR="00B1756A">
              <w:t xml:space="preserve"> the</w:t>
            </w:r>
            <w:r w:rsidRPr="00B1115B">
              <w:t xml:space="preserve"> percent</w:t>
            </w:r>
            <w:r w:rsidR="00B1756A">
              <w:t>age</w:t>
            </w:r>
            <w:r>
              <w:t xml:space="preserve"> that may be </w:t>
            </w:r>
            <w:r w:rsidRPr="00B1115B">
              <w:t>used for the Texas clean fleet program</w:t>
            </w:r>
            <w:r>
              <w:t>;</w:t>
            </w:r>
          </w:p>
          <w:p w14:paraId="5AC737F2" w14:textId="392F4766" w:rsidR="00B1115B" w:rsidRDefault="00F50FD8" w:rsidP="000E2F5B">
            <w:pPr>
              <w:pStyle w:val="ListParagraph"/>
              <w:numPr>
                <w:ilvl w:val="0"/>
                <w:numId w:val="8"/>
              </w:numPr>
              <w:jc w:val="both"/>
            </w:pPr>
            <w:r>
              <w:t>whereas the introduced decreased from 10 to fi</w:t>
            </w:r>
            <w:r>
              <w:t>ve the percentage that m</w:t>
            </w:r>
            <w:r w:rsidRPr="00DA7EB5">
              <w:t>ay be used for the Texas natural gas vehicle grant program</w:t>
            </w:r>
            <w:r>
              <w:t xml:space="preserve">, the substitute </w:t>
            </w:r>
            <w:r w:rsidR="00962482">
              <w:t>decreases that percentage from 10 to 7.5;</w:t>
            </w:r>
          </w:p>
          <w:p w14:paraId="4535AD35" w14:textId="02CA2886" w:rsidR="00962482" w:rsidRDefault="00F50FD8" w:rsidP="000E2F5B">
            <w:pPr>
              <w:pStyle w:val="ListParagraph"/>
              <w:numPr>
                <w:ilvl w:val="0"/>
                <w:numId w:val="8"/>
              </w:numPr>
              <w:jc w:val="both"/>
            </w:pPr>
            <w:r>
              <w:t xml:space="preserve">the </w:t>
            </w:r>
            <w:r w:rsidRPr="00962482">
              <w:t xml:space="preserve">substitute </w:t>
            </w:r>
            <w:r w:rsidR="00FA7EB9">
              <w:t>omits</w:t>
            </w:r>
            <w:r w:rsidRPr="00962482">
              <w:t xml:space="preserve"> provisions in the introduced</w:t>
            </w:r>
            <w:r>
              <w:t xml:space="preserve"> that change from a maximum of </w:t>
            </w:r>
            <w:r w:rsidRPr="00962482">
              <w:t>$6 million</w:t>
            </w:r>
            <w:r>
              <w:t xml:space="preserve"> to eight percent the amo</w:t>
            </w:r>
            <w:r>
              <w:t xml:space="preserve">unt that </w:t>
            </w:r>
            <w:r w:rsidRPr="00962482">
              <w:t xml:space="preserve">may be used for the Texas alternative fueling facilities program </w:t>
            </w:r>
            <w:r>
              <w:t xml:space="preserve">and that remove an authorization for a </w:t>
            </w:r>
            <w:r w:rsidRPr="00962482">
              <w:t xml:space="preserve">specified amount </w:t>
            </w:r>
            <w:r w:rsidR="00DF109E">
              <w:t>to</w:t>
            </w:r>
            <w:r w:rsidRPr="00962482">
              <w:t xml:space="preserve"> be used for fueling stations to provide natural gas fuel</w:t>
            </w:r>
            <w:r w:rsidR="00DF109E">
              <w:t>;</w:t>
            </w:r>
            <w:r>
              <w:t xml:space="preserve"> and</w:t>
            </w:r>
          </w:p>
          <w:p w14:paraId="41B6A730" w14:textId="20814598" w:rsidR="00DF109E" w:rsidRDefault="00F50FD8" w:rsidP="000E2F5B">
            <w:pPr>
              <w:pStyle w:val="ListParagraph"/>
              <w:numPr>
                <w:ilvl w:val="0"/>
                <w:numId w:val="8"/>
              </w:numPr>
              <w:jc w:val="both"/>
            </w:pPr>
            <w:r>
              <w:t xml:space="preserve">the substitute includes a provision </w:t>
            </w:r>
            <w:r w:rsidR="00FA7EB9">
              <w:t>absent from</w:t>
            </w:r>
            <w:r>
              <w:t xml:space="preserve"> the introduce</w:t>
            </w:r>
            <w:r>
              <w:t xml:space="preserve">d that </w:t>
            </w:r>
            <w:r w:rsidRPr="00DF109E">
              <w:t>chang</w:t>
            </w:r>
            <w:r>
              <w:t>es</w:t>
            </w:r>
            <w:r w:rsidRPr="00DF109E">
              <w:t xml:space="preserve"> from $16 million to 15 percent the maximum amount that may be used by the</w:t>
            </w:r>
            <w:r>
              <w:t xml:space="preserve"> </w:t>
            </w:r>
            <w:r w:rsidRPr="00DF109E">
              <w:t>TCEQ for administrative costs</w:t>
            </w:r>
            <w:r>
              <w:t>.</w:t>
            </w:r>
          </w:p>
          <w:p w14:paraId="2AB32A47" w14:textId="77777777" w:rsidR="008A7C45" w:rsidRDefault="008A7C45" w:rsidP="00D266B1">
            <w:pPr>
              <w:jc w:val="both"/>
            </w:pPr>
          </w:p>
          <w:p w14:paraId="134CB354" w14:textId="22B55817" w:rsidR="00AC5611" w:rsidRDefault="00F50FD8" w:rsidP="00D266B1">
            <w:pPr>
              <w:jc w:val="both"/>
            </w:pPr>
            <w:r>
              <w:t xml:space="preserve">The substitute </w:t>
            </w:r>
            <w:r w:rsidR="00FA7EB9">
              <w:t>omits</w:t>
            </w:r>
            <w:r>
              <w:t xml:space="preserve"> provisions in the introduced that </w:t>
            </w:r>
            <w:r w:rsidR="00702669">
              <w:t>included as p</w:t>
            </w:r>
            <w:r w:rsidR="00702669" w:rsidRPr="00702669">
              <w:t xml:space="preserve">rojects </w:t>
            </w:r>
            <w:r w:rsidR="00702669">
              <w:t>eligible to</w:t>
            </w:r>
            <w:r w:rsidR="00702669" w:rsidRPr="00702669">
              <w:t xml:space="preserve"> be considered for a grant under the new technology implementation grant program </w:t>
            </w:r>
            <w:r w:rsidR="00702669">
              <w:t xml:space="preserve">projects that encourage the adoption of hydrogen infrastructure and vehicles, including specified projects. The substitute includes provisions </w:t>
            </w:r>
            <w:r w:rsidR="00FA7EB9">
              <w:t>absent from</w:t>
            </w:r>
            <w:r w:rsidR="00702669">
              <w:t xml:space="preserve"> the introduced that instead establish the </w:t>
            </w:r>
            <w:r w:rsidR="00702669" w:rsidRPr="00702669">
              <w:t>Texas hydrogen infrastructure, vehicle, and equipment grant program</w:t>
            </w:r>
            <w:r w:rsidR="00702669">
              <w:t>.</w:t>
            </w:r>
            <w:r w:rsidR="003C5369">
              <w:t xml:space="preserve"> </w:t>
            </w:r>
            <w:r>
              <w:t>Whereas the introduced included a definition for "hydrogen vehicle," the substitute includes a definition for "hydrogen vehicle or equipment."</w:t>
            </w:r>
          </w:p>
          <w:p w14:paraId="270DC236" w14:textId="77777777" w:rsidR="00AC5611" w:rsidRDefault="00AC5611" w:rsidP="00D266B1">
            <w:pPr>
              <w:jc w:val="both"/>
            </w:pPr>
          </w:p>
          <w:p w14:paraId="75E6B2A2" w14:textId="16D0CCA8" w:rsidR="001B73B8" w:rsidRDefault="00F50FD8" w:rsidP="00D266B1">
            <w:pPr>
              <w:jc w:val="both"/>
            </w:pPr>
            <w:r>
              <w:t>The substitute includ</w:t>
            </w:r>
            <w:r>
              <w:t xml:space="preserve">es provisions </w:t>
            </w:r>
            <w:r w:rsidR="00FA7EB9">
              <w:t xml:space="preserve">absent from </w:t>
            </w:r>
            <w:r>
              <w:t xml:space="preserve">the introduced that revise the </w:t>
            </w:r>
            <w:r w:rsidRPr="006C4ABA">
              <w:t>new technology project</w:t>
            </w:r>
            <w:r>
              <w:t>s</w:t>
            </w:r>
            <w:r w:rsidRPr="006C4ABA">
              <w:t xml:space="preserve"> </w:t>
            </w:r>
            <w:r>
              <w:t xml:space="preserve">that reduce emissions from oil and gas activities that are </w:t>
            </w:r>
            <w:r w:rsidRPr="006C4ABA">
              <w:t>eligible to be considered for a grant under the new technology implementation grant program</w:t>
            </w:r>
            <w:r>
              <w:t>.</w:t>
            </w:r>
            <w:r w:rsidRPr="006C4ABA">
              <w:t xml:space="preserve">    </w:t>
            </w:r>
          </w:p>
          <w:p w14:paraId="0E99F8C6" w14:textId="77777777" w:rsidR="001B73B8" w:rsidRDefault="001B73B8" w:rsidP="00D266B1">
            <w:pPr>
              <w:jc w:val="both"/>
            </w:pPr>
          </w:p>
          <w:p w14:paraId="31B257A1" w14:textId="104EF892" w:rsidR="001B73B8" w:rsidRDefault="00F50FD8" w:rsidP="00D266B1">
            <w:pPr>
              <w:jc w:val="both"/>
            </w:pPr>
            <w:r>
              <w:t xml:space="preserve">The substitute </w:t>
            </w:r>
            <w:r w:rsidR="00FA7EB9">
              <w:t>omits</w:t>
            </w:r>
            <w:r w:rsidRPr="003C5369">
              <w:t xml:space="preserve"> provisions in the introduced</w:t>
            </w:r>
            <w:r>
              <w:t xml:space="preserve"> that require the TCEQ</w:t>
            </w:r>
            <w:r w:rsidRPr="003C5369">
              <w:t xml:space="preserve"> </w:t>
            </w:r>
            <w:r>
              <w:t>to</w:t>
            </w:r>
            <w:r w:rsidRPr="003C5369">
              <w:t xml:space="preserve"> establish and administer a grant program to encourage the purchase, construction, and installation of infrastructure needed in nonattainment areas and affected counties of th</w:t>
            </w:r>
            <w:r>
              <w:t>e</w:t>
            </w:r>
            <w:r w:rsidRPr="003C5369">
              <w:t xml:space="preserve"> state to support the us</w:t>
            </w:r>
            <w:r w:rsidRPr="003C5369">
              <w:t>e of drayage trucks that are or cargo handling equipment that is powered by an alternative fuel.</w:t>
            </w:r>
          </w:p>
          <w:p w14:paraId="6713D5E0" w14:textId="7F00D401" w:rsidR="004719DC" w:rsidRDefault="004719DC" w:rsidP="00D266B1">
            <w:pPr>
              <w:jc w:val="both"/>
            </w:pPr>
          </w:p>
          <w:p w14:paraId="7E80E8EB" w14:textId="3C790D59" w:rsidR="009170D4" w:rsidRDefault="00F50FD8" w:rsidP="00D266B1">
            <w:pPr>
              <w:jc w:val="both"/>
            </w:pPr>
            <w:r w:rsidRPr="004719DC">
              <w:t xml:space="preserve">The substitute </w:t>
            </w:r>
            <w:r w:rsidR="00092ED6">
              <w:t>omits</w:t>
            </w:r>
            <w:r w:rsidRPr="004719DC">
              <w:t xml:space="preserve"> provisions in the introduced</w:t>
            </w:r>
            <w:r>
              <w:t xml:space="preserve"> that relate to the </w:t>
            </w:r>
            <w:r w:rsidR="007B6662" w:rsidRPr="007B6662">
              <w:t>light-duty motor vehicle purchase or lease incentive program</w:t>
            </w:r>
            <w:r w:rsidR="007B6662">
              <w:t xml:space="preserve"> </w:t>
            </w:r>
            <w:r>
              <w:t>and do the following:</w:t>
            </w:r>
          </w:p>
          <w:p w14:paraId="3A8002E2" w14:textId="7AAA4BFD" w:rsidR="009170D4" w:rsidRDefault="00F50FD8" w:rsidP="000E2F5B">
            <w:pPr>
              <w:pStyle w:val="ListParagraph"/>
              <w:numPr>
                <w:ilvl w:val="0"/>
                <w:numId w:val="7"/>
              </w:numPr>
              <w:jc w:val="both"/>
            </w:pPr>
            <w:r>
              <w:t>revise</w:t>
            </w:r>
            <w:r>
              <w:t xml:space="preserve"> the eligibility of a </w:t>
            </w:r>
            <w:r w:rsidRPr="004719DC">
              <w:t>new light-duty motor vehicle powered by an electric drive for a $2,500 incentive</w:t>
            </w:r>
            <w:r>
              <w:t>;</w:t>
            </w:r>
          </w:p>
          <w:p w14:paraId="4B2A03FE" w14:textId="47C80971" w:rsidR="009170D4" w:rsidRDefault="00F50FD8" w:rsidP="000E2F5B">
            <w:pPr>
              <w:pStyle w:val="ListParagraph"/>
              <w:numPr>
                <w:ilvl w:val="0"/>
                <w:numId w:val="7"/>
              </w:numPr>
              <w:jc w:val="both"/>
            </w:pPr>
            <w:r>
              <w:t>make certain</w:t>
            </w:r>
            <w:r w:rsidRPr="009170D4">
              <w:t xml:space="preserve"> new light-duty motor vehicle</w:t>
            </w:r>
            <w:r w:rsidR="00680485">
              <w:t>s</w:t>
            </w:r>
            <w:r w:rsidRPr="009170D4">
              <w:t xml:space="preserve"> powered by an electric drive eligible for a $4,000 incentive</w:t>
            </w:r>
            <w:r>
              <w:t>; and</w:t>
            </w:r>
          </w:p>
          <w:p w14:paraId="740BC344" w14:textId="2A41CC4D" w:rsidR="007B6662" w:rsidRDefault="00F50FD8" w:rsidP="000E2F5B">
            <w:pPr>
              <w:pStyle w:val="ListParagraph"/>
              <w:numPr>
                <w:ilvl w:val="0"/>
                <w:numId w:val="7"/>
              </w:numPr>
              <w:jc w:val="both"/>
            </w:pPr>
            <w:r>
              <w:t>require the TCEQ</w:t>
            </w:r>
            <w:r w:rsidRPr="007B6662">
              <w:t>, at the beginning of the s</w:t>
            </w:r>
            <w:r w:rsidRPr="007B6662">
              <w:t>econd state fiscal year of the biennium</w:t>
            </w:r>
            <w:r w:rsidR="007B6D22">
              <w:t xml:space="preserve"> and </w:t>
            </w:r>
            <w:r w:rsidR="007B6D22" w:rsidRPr="007B6D22">
              <w:t>subject to</w:t>
            </w:r>
            <w:r w:rsidR="007B6D22">
              <w:t xml:space="preserve"> applicable funding</w:t>
            </w:r>
            <w:r w:rsidRPr="007B6662">
              <w:t xml:space="preserve">, </w:t>
            </w:r>
            <w:r>
              <w:t xml:space="preserve">to </w:t>
            </w:r>
            <w:r w:rsidRPr="007B6662">
              <w:t xml:space="preserve">adjust the initial limitations </w:t>
            </w:r>
            <w:r w:rsidR="007B6D22">
              <w:t xml:space="preserve">for the number of vehicles that may receive an incentive </w:t>
            </w:r>
            <w:r w:rsidRPr="007B6662">
              <w:t>based on demand for incentives during the preceding state fiscal year.</w:t>
            </w:r>
          </w:p>
          <w:p w14:paraId="3947697C" w14:textId="7B9DC284" w:rsidR="007B6D22" w:rsidRDefault="007B6D22" w:rsidP="00D266B1">
            <w:pPr>
              <w:jc w:val="both"/>
            </w:pPr>
          </w:p>
          <w:p w14:paraId="6E3C30EB" w14:textId="6401C727" w:rsidR="007B6D22" w:rsidRDefault="00F50FD8" w:rsidP="00D266B1">
            <w:pPr>
              <w:jc w:val="both"/>
            </w:pPr>
            <w:r>
              <w:t xml:space="preserve">The substitute </w:t>
            </w:r>
            <w:r w:rsidR="00092ED6">
              <w:t>omits</w:t>
            </w:r>
            <w:r>
              <w:t xml:space="preserve"> </w:t>
            </w:r>
            <w:r w:rsidRPr="007B6D22">
              <w:t>provisions in the introduced that</w:t>
            </w:r>
            <w:r>
              <w:t xml:space="preserve"> remove the </w:t>
            </w:r>
            <w:r w:rsidRPr="007B6D22">
              <w:t>$600,000</w:t>
            </w:r>
            <w:r>
              <w:t xml:space="preserve"> cap for a grant </w:t>
            </w:r>
            <w:r w:rsidR="008F7227" w:rsidRPr="008F7227">
              <w:t xml:space="preserve">awarded </w:t>
            </w:r>
            <w:r w:rsidR="008F7227">
              <w:t>to</w:t>
            </w:r>
            <w:r w:rsidR="008F7227" w:rsidRPr="008F7227">
              <w:t xml:space="preserve"> a facility to provide alternative fuels other than natural gas</w:t>
            </w:r>
            <w:r w:rsidR="008F7227">
              <w:t xml:space="preserve"> under </w:t>
            </w:r>
            <w:r w:rsidR="008F7227" w:rsidRPr="008F7227">
              <w:t>the Texas alternative fueling facilities program</w:t>
            </w:r>
            <w:r w:rsidR="008F7227">
              <w:t>.</w:t>
            </w:r>
          </w:p>
          <w:p w14:paraId="0E3100DD" w14:textId="08FACACC" w:rsidR="008F7227" w:rsidRDefault="008F7227" w:rsidP="00D266B1">
            <w:pPr>
              <w:jc w:val="both"/>
            </w:pPr>
          </w:p>
          <w:p w14:paraId="5B38A28D" w14:textId="62DB53A5" w:rsidR="001B73B8" w:rsidRPr="001B73B8" w:rsidRDefault="00F50FD8" w:rsidP="00D266B1">
            <w:pPr>
              <w:jc w:val="both"/>
            </w:pPr>
            <w:r>
              <w:t xml:space="preserve">The substitute includes provisions </w:t>
            </w:r>
            <w:r w:rsidR="0067280F">
              <w:t>absent from</w:t>
            </w:r>
            <w:r>
              <w:t xml:space="preserve"> the introduced that revise the requirements for a grant under the Texas natural gas vehicle grant program and require </w:t>
            </w:r>
            <w:r w:rsidR="009D63FF">
              <w:t xml:space="preserve">the </w:t>
            </w:r>
            <w:r w:rsidR="008A7C45">
              <w:t>TCEQ's prioritizing</w:t>
            </w:r>
            <w:r>
              <w:t xml:space="preserve"> criteria to prioritize the awarding of grants in </w:t>
            </w:r>
            <w:r w:rsidR="008A7C45">
              <w:t xml:space="preserve">a specified </w:t>
            </w:r>
            <w:r>
              <w:t>order</w:t>
            </w:r>
            <w:r w:rsidR="008A7C45">
              <w:t>.</w:t>
            </w:r>
            <w:r w:rsidR="009170D4">
              <w:t xml:space="preserve"> </w:t>
            </w:r>
          </w:p>
        </w:tc>
      </w:tr>
      <w:tr w:rsidR="00E14AF8" w14:paraId="7896AB02" w14:textId="77777777" w:rsidTr="00345119">
        <w:tc>
          <w:tcPr>
            <w:tcW w:w="9576" w:type="dxa"/>
          </w:tcPr>
          <w:p w14:paraId="525DEE95" w14:textId="77777777" w:rsidR="00522841" w:rsidRPr="009C1E9A" w:rsidRDefault="00522841" w:rsidP="00D266B1">
            <w:pPr>
              <w:rPr>
                <w:b/>
                <w:u w:val="single"/>
              </w:rPr>
            </w:pPr>
          </w:p>
        </w:tc>
      </w:tr>
      <w:tr w:rsidR="00E14AF8" w14:paraId="670C4450" w14:textId="77777777" w:rsidTr="00345119">
        <w:tc>
          <w:tcPr>
            <w:tcW w:w="9576" w:type="dxa"/>
          </w:tcPr>
          <w:p w14:paraId="472B669C" w14:textId="77777777" w:rsidR="00522841" w:rsidRPr="00522841" w:rsidRDefault="00522841" w:rsidP="00D266B1">
            <w:pPr>
              <w:jc w:val="both"/>
            </w:pPr>
          </w:p>
        </w:tc>
      </w:tr>
    </w:tbl>
    <w:p w14:paraId="5CA5A281" w14:textId="77777777" w:rsidR="008423E4" w:rsidRPr="00BE0E75" w:rsidRDefault="008423E4" w:rsidP="008423E4">
      <w:pPr>
        <w:spacing w:line="480" w:lineRule="auto"/>
        <w:jc w:val="both"/>
        <w:rPr>
          <w:rFonts w:ascii="Arial" w:hAnsi="Arial"/>
          <w:sz w:val="16"/>
          <w:szCs w:val="16"/>
        </w:rPr>
      </w:pPr>
    </w:p>
    <w:p w14:paraId="595808DA"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FD37" w14:textId="77777777" w:rsidR="00000000" w:rsidRDefault="00F50FD8">
      <w:r>
        <w:separator/>
      </w:r>
    </w:p>
  </w:endnote>
  <w:endnote w:type="continuationSeparator" w:id="0">
    <w:p w14:paraId="15F3EF48" w14:textId="77777777" w:rsidR="00000000" w:rsidRDefault="00F5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BF4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14AF8" w14:paraId="548440E5" w14:textId="77777777" w:rsidTr="009C1E9A">
      <w:trPr>
        <w:cantSplit/>
      </w:trPr>
      <w:tc>
        <w:tcPr>
          <w:tcW w:w="0" w:type="pct"/>
        </w:tcPr>
        <w:p w14:paraId="67E7A1BD" w14:textId="77777777" w:rsidR="00137D90" w:rsidRDefault="00137D90" w:rsidP="009C1E9A">
          <w:pPr>
            <w:pStyle w:val="Footer"/>
            <w:tabs>
              <w:tab w:val="clear" w:pos="8640"/>
              <w:tab w:val="right" w:pos="9360"/>
            </w:tabs>
          </w:pPr>
        </w:p>
      </w:tc>
      <w:tc>
        <w:tcPr>
          <w:tcW w:w="2395" w:type="pct"/>
        </w:tcPr>
        <w:p w14:paraId="3C34B1F7" w14:textId="77777777" w:rsidR="00137D90" w:rsidRDefault="00137D90" w:rsidP="009C1E9A">
          <w:pPr>
            <w:pStyle w:val="Footer"/>
            <w:tabs>
              <w:tab w:val="clear" w:pos="8640"/>
              <w:tab w:val="right" w:pos="9360"/>
            </w:tabs>
          </w:pPr>
        </w:p>
        <w:p w14:paraId="4C9C368F" w14:textId="77777777" w:rsidR="001A4310" w:rsidRDefault="001A4310" w:rsidP="009C1E9A">
          <w:pPr>
            <w:pStyle w:val="Footer"/>
            <w:tabs>
              <w:tab w:val="clear" w:pos="8640"/>
              <w:tab w:val="right" w:pos="9360"/>
            </w:tabs>
          </w:pPr>
        </w:p>
        <w:p w14:paraId="1FE5E005" w14:textId="77777777" w:rsidR="00137D90" w:rsidRDefault="00137D90" w:rsidP="009C1E9A">
          <w:pPr>
            <w:pStyle w:val="Footer"/>
            <w:tabs>
              <w:tab w:val="clear" w:pos="8640"/>
              <w:tab w:val="right" w:pos="9360"/>
            </w:tabs>
          </w:pPr>
        </w:p>
      </w:tc>
      <w:tc>
        <w:tcPr>
          <w:tcW w:w="2453" w:type="pct"/>
        </w:tcPr>
        <w:p w14:paraId="50CFF203" w14:textId="77777777" w:rsidR="00137D90" w:rsidRDefault="00137D90" w:rsidP="009C1E9A">
          <w:pPr>
            <w:pStyle w:val="Footer"/>
            <w:tabs>
              <w:tab w:val="clear" w:pos="8640"/>
              <w:tab w:val="right" w:pos="9360"/>
            </w:tabs>
            <w:jc w:val="right"/>
          </w:pPr>
        </w:p>
      </w:tc>
    </w:tr>
    <w:tr w:rsidR="00E14AF8" w14:paraId="68B48CD1" w14:textId="77777777" w:rsidTr="009C1E9A">
      <w:trPr>
        <w:cantSplit/>
      </w:trPr>
      <w:tc>
        <w:tcPr>
          <w:tcW w:w="0" w:type="pct"/>
        </w:tcPr>
        <w:p w14:paraId="70BA68EE" w14:textId="77777777" w:rsidR="00EC379B" w:rsidRDefault="00EC379B" w:rsidP="009C1E9A">
          <w:pPr>
            <w:pStyle w:val="Footer"/>
            <w:tabs>
              <w:tab w:val="clear" w:pos="8640"/>
              <w:tab w:val="right" w:pos="9360"/>
            </w:tabs>
          </w:pPr>
        </w:p>
      </w:tc>
      <w:tc>
        <w:tcPr>
          <w:tcW w:w="2395" w:type="pct"/>
        </w:tcPr>
        <w:p w14:paraId="3A586733" w14:textId="77777777" w:rsidR="00EC379B" w:rsidRPr="009C1E9A" w:rsidRDefault="00F50FD8" w:rsidP="009C1E9A">
          <w:pPr>
            <w:pStyle w:val="Footer"/>
            <w:tabs>
              <w:tab w:val="clear" w:pos="8640"/>
              <w:tab w:val="right" w:pos="9360"/>
            </w:tabs>
            <w:rPr>
              <w:rFonts w:ascii="Shruti" w:hAnsi="Shruti"/>
              <w:sz w:val="22"/>
            </w:rPr>
          </w:pPr>
          <w:r>
            <w:rPr>
              <w:rFonts w:ascii="Shruti" w:hAnsi="Shruti"/>
              <w:sz w:val="22"/>
            </w:rPr>
            <w:t>88R 22816-D</w:t>
          </w:r>
        </w:p>
      </w:tc>
      <w:tc>
        <w:tcPr>
          <w:tcW w:w="2453" w:type="pct"/>
        </w:tcPr>
        <w:p w14:paraId="6C7BE95D" w14:textId="1928A873" w:rsidR="00EC379B" w:rsidRDefault="00F50FD8" w:rsidP="009C1E9A">
          <w:pPr>
            <w:pStyle w:val="Footer"/>
            <w:tabs>
              <w:tab w:val="clear" w:pos="8640"/>
              <w:tab w:val="right" w:pos="9360"/>
            </w:tabs>
            <w:jc w:val="right"/>
          </w:pPr>
          <w:r>
            <w:fldChar w:fldCharType="begin"/>
          </w:r>
          <w:r>
            <w:instrText xml:space="preserve"> DOCPROPERTY  OTID  \* MERGEFORMAT </w:instrText>
          </w:r>
          <w:r>
            <w:fldChar w:fldCharType="separate"/>
          </w:r>
          <w:r w:rsidR="00D266B1">
            <w:t>23.101.289</w:t>
          </w:r>
          <w:r>
            <w:fldChar w:fldCharType="end"/>
          </w:r>
        </w:p>
      </w:tc>
    </w:tr>
    <w:tr w:rsidR="00E14AF8" w14:paraId="012DB4F3" w14:textId="77777777" w:rsidTr="009C1E9A">
      <w:trPr>
        <w:cantSplit/>
      </w:trPr>
      <w:tc>
        <w:tcPr>
          <w:tcW w:w="0" w:type="pct"/>
        </w:tcPr>
        <w:p w14:paraId="718B2DD3" w14:textId="77777777" w:rsidR="00EC379B" w:rsidRDefault="00EC379B" w:rsidP="009C1E9A">
          <w:pPr>
            <w:pStyle w:val="Footer"/>
            <w:tabs>
              <w:tab w:val="clear" w:pos="4320"/>
              <w:tab w:val="clear" w:pos="8640"/>
              <w:tab w:val="left" w:pos="2865"/>
            </w:tabs>
          </w:pPr>
        </w:p>
      </w:tc>
      <w:tc>
        <w:tcPr>
          <w:tcW w:w="2395" w:type="pct"/>
        </w:tcPr>
        <w:p w14:paraId="0369FA2E" w14:textId="77777777" w:rsidR="00EC379B" w:rsidRPr="009C1E9A" w:rsidRDefault="00F50FD8" w:rsidP="009C1E9A">
          <w:pPr>
            <w:pStyle w:val="Footer"/>
            <w:tabs>
              <w:tab w:val="clear" w:pos="4320"/>
              <w:tab w:val="clear" w:pos="8640"/>
              <w:tab w:val="left" w:pos="2865"/>
            </w:tabs>
            <w:rPr>
              <w:rFonts w:ascii="Shruti" w:hAnsi="Shruti"/>
              <w:sz w:val="22"/>
            </w:rPr>
          </w:pPr>
          <w:r>
            <w:rPr>
              <w:rFonts w:ascii="Shruti" w:hAnsi="Shruti"/>
              <w:sz w:val="22"/>
            </w:rPr>
            <w:t>Substitute Document Number: 88R 21958</w:t>
          </w:r>
        </w:p>
      </w:tc>
      <w:tc>
        <w:tcPr>
          <w:tcW w:w="2453" w:type="pct"/>
        </w:tcPr>
        <w:p w14:paraId="13AF7A60" w14:textId="77777777" w:rsidR="00EC379B" w:rsidRDefault="00EC379B" w:rsidP="006D504F">
          <w:pPr>
            <w:pStyle w:val="Footer"/>
            <w:rPr>
              <w:rStyle w:val="PageNumber"/>
            </w:rPr>
          </w:pPr>
        </w:p>
        <w:p w14:paraId="4DF6692D" w14:textId="77777777" w:rsidR="00EC379B" w:rsidRDefault="00EC379B" w:rsidP="009C1E9A">
          <w:pPr>
            <w:pStyle w:val="Footer"/>
            <w:tabs>
              <w:tab w:val="clear" w:pos="8640"/>
              <w:tab w:val="right" w:pos="9360"/>
            </w:tabs>
            <w:jc w:val="right"/>
          </w:pPr>
        </w:p>
      </w:tc>
    </w:tr>
    <w:tr w:rsidR="00E14AF8" w14:paraId="5BA502B2" w14:textId="77777777" w:rsidTr="009C1E9A">
      <w:trPr>
        <w:cantSplit/>
        <w:trHeight w:val="323"/>
      </w:trPr>
      <w:tc>
        <w:tcPr>
          <w:tcW w:w="0" w:type="pct"/>
          <w:gridSpan w:val="3"/>
        </w:tcPr>
        <w:p w14:paraId="51837A56" w14:textId="77777777" w:rsidR="00EC379B" w:rsidRDefault="00F50FD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F90797" w14:textId="77777777" w:rsidR="00EC379B" w:rsidRDefault="00EC379B" w:rsidP="009C1E9A">
          <w:pPr>
            <w:pStyle w:val="Footer"/>
            <w:tabs>
              <w:tab w:val="clear" w:pos="8640"/>
              <w:tab w:val="right" w:pos="9360"/>
            </w:tabs>
            <w:jc w:val="center"/>
          </w:pPr>
        </w:p>
      </w:tc>
    </w:tr>
  </w:tbl>
  <w:p w14:paraId="6465548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7E8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AFDA" w14:textId="77777777" w:rsidR="00000000" w:rsidRDefault="00F50FD8">
      <w:r>
        <w:separator/>
      </w:r>
    </w:p>
  </w:footnote>
  <w:footnote w:type="continuationSeparator" w:id="0">
    <w:p w14:paraId="52EEB6DF" w14:textId="77777777" w:rsidR="00000000" w:rsidRDefault="00F5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750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DC4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DFF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E6D"/>
    <w:multiLevelType w:val="hybridMultilevel"/>
    <w:tmpl w:val="326A5E98"/>
    <w:lvl w:ilvl="0" w:tplc="67E887C0">
      <w:start w:val="1"/>
      <w:numFmt w:val="bullet"/>
      <w:lvlText w:val=""/>
      <w:lvlJc w:val="left"/>
      <w:pPr>
        <w:tabs>
          <w:tab w:val="num" w:pos="720"/>
        </w:tabs>
        <w:ind w:left="720" w:hanging="360"/>
      </w:pPr>
      <w:rPr>
        <w:rFonts w:ascii="Symbol" w:hAnsi="Symbol" w:hint="default"/>
      </w:rPr>
    </w:lvl>
    <w:lvl w:ilvl="1" w:tplc="5736377C" w:tentative="1">
      <w:start w:val="1"/>
      <w:numFmt w:val="bullet"/>
      <w:lvlText w:val="o"/>
      <w:lvlJc w:val="left"/>
      <w:pPr>
        <w:ind w:left="1440" w:hanging="360"/>
      </w:pPr>
      <w:rPr>
        <w:rFonts w:ascii="Courier New" w:hAnsi="Courier New" w:cs="Courier New" w:hint="default"/>
      </w:rPr>
    </w:lvl>
    <w:lvl w:ilvl="2" w:tplc="D9900464" w:tentative="1">
      <w:start w:val="1"/>
      <w:numFmt w:val="bullet"/>
      <w:lvlText w:val=""/>
      <w:lvlJc w:val="left"/>
      <w:pPr>
        <w:ind w:left="2160" w:hanging="360"/>
      </w:pPr>
      <w:rPr>
        <w:rFonts w:ascii="Wingdings" w:hAnsi="Wingdings" w:hint="default"/>
      </w:rPr>
    </w:lvl>
    <w:lvl w:ilvl="3" w:tplc="F2987040" w:tentative="1">
      <w:start w:val="1"/>
      <w:numFmt w:val="bullet"/>
      <w:lvlText w:val=""/>
      <w:lvlJc w:val="left"/>
      <w:pPr>
        <w:ind w:left="2880" w:hanging="360"/>
      </w:pPr>
      <w:rPr>
        <w:rFonts w:ascii="Symbol" w:hAnsi="Symbol" w:hint="default"/>
      </w:rPr>
    </w:lvl>
    <w:lvl w:ilvl="4" w:tplc="E1668D46" w:tentative="1">
      <w:start w:val="1"/>
      <w:numFmt w:val="bullet"/>
      <w:lvlText w:val="o"/>
      <w:lvlJc w:val="left"/>
      <w:pPr>
        <w:ind w:left="3600" w:hanging="360"/>
      </w:pPr>
      <w:rPr>
        <w:rFonts w:ascii="Courier New" w:hAnsi="Courier New" w:cs="Courier New" w:hint="default"/>
      </w:rPr>
    </w:lvl>
    <w:lvl w:ilvl="5" w:tplc="5B286936" w:tentative="1">
      <w:start w:val="1"/>
      <w:numFmt w:val="bullet"/>
      <w:lvlText w:val=""/>
      <w:lvlJc w:val="left"/>
      <w:pPr>
        <w:ind w:left="4320" w:hanging="360"/>
      </w:pPr>
      <w:rPr>
        <w:rFonts w:ascii="Wingdings" w:hAnsi="Wingdings" w:hint="default"/>
      </w:rPr>
    </w:lvl>
    <w:lvl w:ilvl="6" w:tplc="CCC2E50E" w:tentative="1">
      <w:start w:val="1"/>
      <w:numFmt w:val="bullet"/>
      <w:lvlText w:val=""/>
      <w:lvlJc w:val="left"/>
      <w:pPr>
        <w:ind w:left="5040" w:hanging="360"/>
      </w:pPr>
      <w:rPr>
        <w:rFonts w:ascii="Symbol" w:hAnsi="Symbol" w:hint="default"/>
      </w:rPr>
    </w:lvl>
    <w:lvl w:ilvl="7" w:tplc="1028184A" w:tentative="1">
      <w:start w:val="1"/>
      <w:numFmt w:val="bullet"/>
      <w:lvlText w:val="o"/>
      <w:lvlJc w:val="left"/>
      <w:pPr>
        <w:ind w:left="5760" w:hanging="360"/>
      </w:pPr>
      <w:rPr>
        <w:rFonts w:ascii="Courier New" w:hAnsi="Courier New" w:cs="Courier New" w:hint="default"/>
      </w:rPr>
    </w:lvl>
    <w:lvl w:ilvl="8" w:tplc="2D963742" w:tentative="1">
      <w:start w:val="1"/>
      <w:numFmt w:val="bullet"/>
      <w:lvlText w:val=""/>
      <w:lvlJc w:val="left"/>
      <w:pPr>
        <w:ind w:left="6480" w:hanging="360"/>
      </w:pPr>
      <w:rPr>
        <w:rFonts w:ascii="Wingdings" w:hAnsi="Wingdings" w:hint="default"/>
      </w:rPr>
    </w:lvl>
  </w:abstractNum>
  <w:abstractNum w:abstractNumId="1" w15:restartNumberingAfterBreak="0">
    <w:nsid w:val="09C462BC"/>
    <w:multiLevelType w:val="hybridMultilevel"/>
    <w:tmpl w:val="AD566B20"/>
    <w:lvl w:ilvl="0" w:tplc="3426F636">
      <w:start w:val="1"/>
      <w:numFmt w:val="decimal"/>
      <w:lvlText w:val="(%1)"/>
      <w:lvlJc w:val="left"/>
      <w:pPr>
        <w:ind w:left="825" w:hanging="465"/>
      </w:pPr>
      <w:rPr>
        <w:rFonts w:hint="default"/>
      </w:rPr>
    </w:lvl>
    <w:lvl w:ilvl="1" w:tplc="3B4C4B52" w:tentative="1">
      <w:start w:val="1"/>
      <w:numFmt w:val="lowerLetter"/>
      <w:lvlText w:val="%2."/>
      <w:lvlJc w:val="left"/>
      <w:pPr>
        <w:ind w:left="1440" w:hanging="360"/>
      </w:pPr>
    </w:lvl>
    <w:lvl w:ilvl="2" w:tplc="16ECA894" w:tentative="1">
      <w:start w:val="1"/>
      <w:numFmt w:val="lowerRoman"/>
      <w:lvlText w:val="%3."/>
      <w:lvlJc w:val="right"/>
      <w:pPr>
        <w:ind w:left="2160" w:hanging="180"/>
      </w:pPr>
    </w:lvl>
    <w:lvl w:ilvl="3" w:tplc="A26806D2" w:tentative="1">
      <w:start w:val="1"/>
      <w:numFmt w:val="decimal"/>
      <w:lvlText w:val="%4."/>
      <w:lvlJc w:val="left"/>
      <w:pPr>
        <w:ind w:left="2880" w:hanging="360"/>
      </w:pPr>
    </w:lvl>
    <w:lvl w:ilvl="4" w:tplc="E6A84FA4" w:tentative="1">
      <w:start w:val="1"/>
      <w:numFmt w:val="lowerLetter"/>
      <w:lvlText w:val="%5."/>
      <w:lvlJc w:val="left"/>
      <w:pPr>
        <w:ind w:left="3600" w:hanging="360"/>
      </w:pPr>
    </w:lvl>
    <w:lvl w:ilvl="5" w:tplc="D534AF32" w:tentative="1">
      <w:start w:val="1"/>
      <w:numFmt w:val="lowerRoman"/>
      <w:lvlText w:val="%6."/>
      <w:lvlJc w:val="right"/>
      <w:pPr>
        <w:ind w:left="4320" w:hanging="180"/>
      </w:pPr>
    </w:lvl>
    <w:lvl w:ilvl="6" w:tplc="8A4024B0" w:tentative="1">
      <w:start w:val="1"/>
      <w:numFmt w:val="decimal"/>
      <w:lvlText w:val="%7."/>
      <w:lvlJc w:val="left"/>
      <w:pPr>
        <w:ind w:left="5040" w:hanging="360"/>
      </w:pPr>
    </w:lvl>
    <w:lvl w:ilvl="7" w:tplc="E1F898AC" w:tentative="1">
      <w:start w:val="1"/>
      <w:numFmt w:val="lowerLetter"/>
      <w:lvlText w:val="%8."/>
      <w:lvlJc w:val="left"/>
      <w:pPr>
        <w:ind w:left="5760" w:hanging="360"/>
      </w:pPr>
    </w:lvl>
    <w:lvl w:ilvl="8" w:tplc="8F7851C2" w:tentative="1">
      <w:start w:val="1"/>
      <w:numFmt w:val="lowerRoman"/>
      <w:lvlText w:val="%9."/>
      <w:lvlJc w:val="right"/>
      <w:pPr>
        <w:ind w:left="6480" w:hanging="180"/>
      </w:pPr>
    </w:lvl>
  </w:abstractNum>
  <w:abstractNum w:abstractNumId="2" w15:restartNumberingAfterBreak="0">
    <w:nsid w:val="17665C22"/>
    <w:multiLevelType w:val="hybridMultilevel"/>
    <w:tmpl w:val="BD60902C"/>
    <w:lvl w:ilvl="0" w:tplc="241CAFF8">
      <w:start w:val="1"/>
      <w:numFmt w:val="bullet"/>
      <w:lvlText w:val=""/>
      <w:lvlJc w:val="left"/>
      <w:pPr>
        <w:tabs>
          <w:tab w:val="num" w:pos="720"/>
        </w:tabs>
        <w:ind w:left="720" w:hanging="360"/>
      </w:pPr>
      <w:rPr>
        <w:rFonts w:ascii="Symbol" w:hAnsi="Symbol" w:hint="default"/>
      </w:rPr>
    </w:lvl>
    <w:lvl w:ilvl="1" w:tplc="38905D34" w:tentative="1">
      <w:start w:val="1"/>
      <w:numFmt w:val="bullet"/>
      <w:lvlText w:val="o"/>
      <w:lvlJc w:val="left"/>
      <w:pPr>
        <w:ind w:left="1440" w:hanging="360"/>
      </w:pPr>
      <w:rPr>
        <w:rFonts w:ascii="Courier New" w:hAnsi="Courier New" w:cs="Courier New" w:hint="default"/>
      </w:rPr>
    </w:lvl>
    <w:lvl w:ilvl="2" w:tplc="112E5CA8" w:tentative="1">
      <w:start w:val="1"/>
      <w:numFmt w:val="bullet"/>
      <w:lvlText w:val=""/>
      <w:lvlJc w:val="left"/>
      <w:pPr>
        <w:ind w:left="2160" w:hanging="360"/>
      </w:pPr>
      <w:rPr>
        <w:rFonts w:ascii="Wingdings" w:hAnsi="Wingdings" w:hint="default"/>
      </w:rPr>
    </w:lvl>
    <w:lvl w:ilvl="3" w:tplc="EBDE30E4" w:tentative="1">
      <w:start w:val="1"/>
      <w:numFmt w:val="bullet"/>
      <w:lvlText w:val=""/>
      <w:lvlJc w:val="left"/>
      <w:pPr>
        <w:ind w:left="2880" w:hanging="360"/>
      </w:pPr>
      <w:rPr>
        <w:rFonts w:ascii="Symbol" w:hAnsi="Symbol" w:hint="default"/>
      </w:rPr>
    </w:lvl>
    <w:lvl w:ilvl="4" w:tplc="06008DB2" w:tentative="1">
      <w:start w:val="1"/>
      <w:numFmt w:val="bullet"/>
      <w:lvlText w:val="o"/>
      <w:lvlJc w:val="left"/>
      <w:pPr>
        <w:ind w:left="3600" w:hanging="360"/>
      </w:pPr>
      <w:rPr>
        <w:rFonts w:ascii="Courier New" w:hAnsi="Courier New" w:cs="Courier New" w:hint="default"/>
      </w:rPr>
    </w:lvl>
    <w:lvl w:ilvl="5" w:tplc="67C8FFB0" w:tentative="1">
      <w:start w:val="1"/>
      <w:numFmt w:val="bullet"/>
      <w:lvlText w:val=""/>
      <w:lvlJc w:val="left"/>
      <w:pPr>
        <w:ind w:left="4320" w:hanging="360"/>
      </w:pPr>
      <w:rPr>
        <w:rFonts w:ascii="Wingdings" w:hAnsi="Wingdings" w:hint="default"/>
      </w:rPr>
    </w:lvl>
    <w:lvl w:ilvl="6" w:tplc="9708B248" w:tentative="1">
      <w:start w:val="1"/>
      <w:numFmt w:val="bullet"/>
      <w:lvlText w:val=""/>
      <w:lvlJc w:val="left"/>
      <w:pPr>
        <w:ind w:left="5040" w:hanging="360"/>
      </w:pPr>
      <w:rPr>
        <w:rFonts w:ascii="Symbol" w:hAnsi="Symbol" w:hint="default"/>
      </w:rPr>
    </w:lvl>
    <w:lvl w:ilvl="7" w:tplc="0E9CCDDE" w:tentative="1">
      <w:start w:val="1"/>
      <w:numFmt w:val="bullet"/>
      <w:lvlText w:val="o"/>
      <w:lvlJc w:val="left"/>
      <w:pPr>
        <w:ind w:left="5760" w:hanging="360"/>
      </w:pPr>
      <w:rPr>
        <w:rFonts w:ascii="Courier New" w:hAnsi="Courier New" w:cs="Courier New" w:hint="default"/>
      </w:rPr>
    </w:lvl>
    <w:lvl w:ilvl="8" w:tplc="6D3ABE9C" w:tentative="1">
      <w:start w:val="1"/>
      <w:numFmt w:val="bullet"/>
      <w:lvlText w:val=""/>
      <w:lvlJc w:val="left"/>
      <w:pPr>
        <w:ind w:left="6480" w:hanging="360"/>
      </w:pPr>
      <w:rPr>
        <w:rFonts w:ascii="Wingdings" w:hAnsi="Wingdings" w:hint="default"/>
      </w:rPr>
    </w:lvl>
  </w:abstractNum>
  <w:abstractNum w:abstractNumId="3" w15:restartNumberingAfterBreak="0">
    <w:nsid w:val="41300D1E"/>
    <w:multiLevelType w:val="hybridMultilevel"/>
    <w:tmpl w:val="AE9ACBE4"/>
    <w:lvl w:ilvl="0" w:tplc="876CC58A">
      <w:start w:val="1"/>
      <w:numFmt w:val="bullet"/>
      <w:lvlText w:val=""/>
      <w:lvlJc w:val="left"/>
      <w:pPr>
        <w:tabs>
          <w:tab w:val="num" w:pos="720"/>
        </w:tabs>
        <w:ind w:left="720" w:hanging="360"/>
      </w:pPr>
      <w:rPr>
        <w:rFonts w:ascii="Symbol" w:hAnsi="Symbol" w:hint="default"/>
      </w:rPr>
    </w:lvl>
    <w:lvl w:ilvl="1" w:tplc="CD82976C" w:tentative="1">
      <w:start w:val="1"/>
      <w:numFmt w:val="bullet"/>
      <w:lvlText w:val="o"/>
      <w:lvlJc w:val="left"/>
      <w:pPr>
        <w:ind w:left="1440" w:hanging="360"/>
      </w:pPr>
      <w:rPr>
        <w:rFonts w:ascii="Courier New" w:hAnsi="Courier New" w:cs="Courier New" w:hint="default"/>
      </w:rPr>
    </w:lvl>
    <w:lvl w:ilvl="2" w:tplc="A132752E" w:tentative="1">
      <w:start w:val="1"/>
      <w:numFmt w:val="bullet"/>
      <w:lvlText w:val=""/>
      <w:lvlJc w:val="left"/>
      <w:pPr>
        <w:ind w:left="2160" w:hanging="360"/>
      </w:pPr>
      <w:rPr>
        <w:rFonts w:ascii="Wingdings" w:hAnsi="Wingdings" w:hint="default"/>
      </w:rPr>
    </w:lvl>
    <w:lvl w:ilvl="3" w:tplc="EDE6483A" w:tentative="1">
      <w:start w:val="1"/>
      <w:numFmt w:val="bullet"/>
      <w:lvlText w:val=""/>
      <w:lvlJc w:val="left"/>
      <w:pPr>
        <w:ind w:left="2880" w:hanging="360"/>
      </w:pPr>
      <w:rPr>
        <w:rFonts w:ascii="Symbol" w:hAnsi="Symbol" w:hint="default"/>
      </w:rPr>
    </w:lvl>
    <w:lvl w:ilvl="4" w:tplc="2572CE22" w:tentative="1">
      <w:start w:val="1"/>
      <w:numFmt w:val="bullet"/>
      <w:lvlText w:val="o"/>
      <w:lvlJc w:val="left"/>
      <w:pPr>
        <w:ind w:left="3600" w:hanging="360"/>
      </w:pPr>
      <w:rPr>
        <w:rFonts w:ascii="Courier New" w:hAnsi="Courier New" w:cs="Courier New" w:hint="default"/>
      </w:rPr>
    </w:lvl>
    <w:lvl w:ilvl="5" w:tplc="A3522B12" w:tentative="1">
      <w:start w:val="1"/>
      <w:numFmt w:val="bullet"/>
      <w:lvlText w:val=""/>
      <w:lvlJc w:val="left"/>
      <w:pPr>
        <w:ind w:left="4320" w:hanging="360"/>
      </w:pPr>
      <w:rPr>
        <w:rFonts w:ascii="Wingdings" w:hAnsi="Wingdings" w:hint="default"/>
      </w:rPr>
    </w:lvl>
    <w:lvl w:ilvl="6" w:tplc="B2B425A6" w:tentative="1">
      <w:start w:val="1"/>
      <w:numFmt w:val="bullet"/>
      <w:lvlText w:val=""/>
      <w:lvlJc w:val="left"/>
      <w:pPr>
        <w:ind w:left="5040" w:hanging="360"/>
      </w:pPr>
      <w:rPr>
        <w:rFonts w:ascii="Symbol" w:hAnsi="Symbol" w:hint="default"/>
      </w:rPr>
    </w:lvl>
    <w:lvl w:ilvl="7" w:tplc="D15085A6" w:tentative="1">
      <w:start w:val="1"/>
      <w:numFmt w:val="bullet"/>
      <w:lvlText w:val="o"/>
      <w:lvlJc w:val="left"/>
      <w:pPr>
        <w:ind w:left="5760" w:hanging="360"/>
      </w:pPr>
      <w:rPr>
        <w:rFonts w:ascii="Courier New" w:hAnsi="Courier New" w:cs="Courier New" w:hint="default"/>
      </w:rPr>
    </w:lvl>
    <w:lvl w:ilvl="8" w:tplc="AD88E220" w:tentative="1">
      <w:start w:val="1"/>
      <w:numFmt w:val="bullet"/>
      <w:lvlText w:val=""/>
      <w:lvlJc w:val="left"/>
      <w:pPr>
        <w:ind w:left="6480" w:hanging="360"/>
      </w:pPr>
      <w:rPr>
        <w:rFonts w:ascii="Wingdings" w:hAnsi="Wingdings" w:hint="default"/>
      </w:rPr>
    </w:lvl>
  </w:abstractNum>
  <w:abstractNum w:abstractNumId="4" w15:restartNumberingAfterBreak="0">
    <w:nsid w:val="626A5AA6"/>
    <w:multiLevelType w:val="hybridMultilevel"/>
    <w:tmpl w:val="DA28EEE6"/>
    <w:lvl w:ilvl="0" w:tplc="8B3CEB68">
      <w:start w:val="1"/>
      <w:numFmt w:val="bullet"/>
      <w:lvlText w:val=""/>
      <w:lvlJc w:val="left"/>
      <w:pPr>
        <w:tabs>
          <w:tab w:val="num" w:pos="720"/>
        </w:tabs>
        <w:ind w:left="720" w:hanging="360"/>
      </w:pPr>
      <w:rPr>
        <w:rFonts w:ascii="Symbol" w:hAnsi="Symbol" w:hint="default"/>
      </w:rPr>
    </w:lvl>
    <w:lvl w:ilvl="1" w:tplc="9806A390" w:tentative="1">
      <w:start w:val="1"/>
      <w:numFmt w:val="bullet"/>
      <w:lvlText w:val="o"/>
      <w:lvlJc w:val="left"/>
      <w:pPr>
        <w:ind w:left="1440" w:hanging="360"/>
      </w:pPr>
      <w:rPr>
        <w:rFonts w:ascii="Courier New" w:hAnsi="Courier New" w:cs="Courier New" w:hint="default"/>
      </w:rPr>
    </w:lvl>
    <w:lvl w:ilvl="2" w:tplc="652CA302" w:tentative="1">
      <w:start w:val="1"/>
      <w:numFmt w:val="bullet"/>
      <w:lvlText w:val=""/>
      <w:lvlJc w:val="left"/>
      <w:pPr>
        <w:ind w:left="2160" w:hanging="360"/>
      </w:pPr>
      <w:rPr>
        <w:rFonts w:ascii="Wingdings" w:hAnsi="Wingdings" w:hint="default"/>
      </w:rPr>
    </w:lvl>
    <w:lvl w:ilvl="3" w:tplc="EF2E63A8" w:tentative="1">
      <w:start w:val="1"/>
      <w:numFmt w:val="bullet"/>
      <w:lvlText w:val=""/>
      <w:lvlJc w:val="left"/>
      <w:pPr>
        <w:ind w:left="2880" w:hanging="360"/>
      </w:pPr>
      <w:rPr>
        <w:rFonts w:ascii="Symbol" w:hAnsi="Symbol" w:hint="default"/>
      </w:rPr>
    </w:lvl>
    <w:lvl w:ilvl="4" w:tplc="A7FCED68" w:tentative="1">
      <w:start w:val="1"/>
      <w:numFmt w:val="bullet"/>
      <w:lvlText w:val="o"/>
      <w:lvlJc w:val="left"/>
      <w:pPr>
        <w:ind w:left="3600" w:hanging="360"/>
      </w:pPr>
      <w:rPr>
        <w:rFonts w:ascii="Courier New" w:hAnsi="Courier New" w:cs="Courier New" w:hint="default"/>
      </w:rPr>
    </w:lvl>
    <w:lvl w:ilvl="5" w:tplc="2C70426C" w:tentative="1">
      <w:start w:val="1"/>
      <w:numFmt w:val="bullet"/>
      <w:lvlText w:val=""/>
      <w:lvlJc w:val="left"/>
      <w:pPr>
        <w:ind w:left="4320" w:hanging="360"/>
      </w:pPr>
      <w:rPr>
        <w:rFonts w:ascii="Wingdings" w:hAnsi="Wingdings" w:hint="default"/>
      </w:rPr>
    </w:lvl>
    <w:lvl w:ilvl="6" w:tplc="A15A8DE6" w:tentative="1">
      <w:start w:val="1"/>
      <w:numFmt w:val="bullet"/>
      <w:lvlText w:val=""/>
      <w:lvlJc w:val="left"/>
      <w:pPr>
        <w:ind w:left="5040" w:hanging="360"/>
      </w:pPr>
      <w:rPr>
        <w:rFonts w:ascii="Symbol" w:hAnsi="Symbol" w:hint="default"/>
      </w:rPr>
    </w:lvl>
    <w:lvl w:ilvl="7" w:tplc="4386C13E" w:tentative="1">
      <w:start w:val="1"/>
      <w:numFmt w:val="bullet"/>
      <w:lvlText w:val="o"/>
      <w:lvlJc w:val="left"/>
      <w:pPr>
        <w:ind w:left="5760" w:hanging="360"/>
      </w:pPr>
      <w:rPr>
        <w:rFonts w:ascii="Courier New" w:hAnsi="Courier New" w:cs="Courier New" w:hint="default"/>
      </w:rPr>
    </w:lvl>
    <w:lvl w:ilvl="8" w:tplc="F3D4A8F2" w:tentative="1">
      <w:start w:val="1"/>
      <w:numFmt w:val="bullet"/>
      <w:lvlText w:val=""/>
      <w:lvlJc w:val="left"/>
      <w:pPr>
        <w:ind w:left="6480" w:hanging="360"/>
      </w:pPr>
      <w:rPr>
        <w:rFonts w:ascii="Wingdings" w:hAnsi="Wingdings" w:hint="default"/>
      </w:rPr>
    </w:lvl>
  </w:abstractNum>
  <w:abstractNum w:abstractNumId="5" w15:restartNumberingAfterBreak="0">
    <w:nsid w:val="64782791"/>
    <w:multiLevelType w:val="hybridMultilevel"/>
    <w:tmpl w:val="47C6F2AE"/>
    <w:lvl w:ilvl="0" w:tplc="D5FCDA0C">
      <w:start w:val="1"/>
      <w:numFmt w:val="bullet"/>
      <w:lvlText w:val=""/>
      <w:lvlJc w:val="left"/>
      <w:pPr>
        <w:tabs>
          <w:tab w:val="num" w:pos="720"/>
        </w:tabs>
        <w:ind w:left="720" w:hanging="360"/>
      </w:pPr>
      <w:rPr>
        <w:rFonts w:ascii="Symbol" w:hAnsi="Symbol" w:hint="default"/>
      </w:rPr>
    </w:lvl>
    <w:lvl w:ilvl="1" w:tplc="A266A2C6" w:tentative="1">
      <w:start w:val="1"/>
      <w:numFmt w:val="bullet"/>
      <w:lvlText w:val="o"/>
      <w:lvlJc w:val="left"/>
      <w:pPr>
        <w:ind w:left="1440" w:hanging="360"/>
      </w:pPr>
      <w:rPr>
        <w:rFonts w:ascii="Courier New" w:hAnsi="Courier New" w:cs="Courier New" w:hint="default"/>
      </w:rPr>
    </w:lvl>
    <w:lvl w:ilvl="2" w:tplc="1C0080CA" w:tentative="1">
      <w:start w:val="1"/>
      <w:numFmt w:val="bullet"/>
      <w:lvlText w:val=""/>
      <w:lvlJc w:val="left"/>
      <w:pPr>
        <w:ind w:left="2160" w:hanging="360"/>
      </w:pPr>
      <w:rPr>
        <w:rFonts w:ascii="Wingdings" w:hAnsi="Wingdings" w:hint="default"/>
      </w:rPr>
    </w:lvl>
    <w:lvl w:ilvl="3" w:tplc="687E3C02" w:tentative="1">
      <w:start w:val="1"/>
      <w:numFmt w:val="bullet"/>
      <w:lvlText w:val=""/>
      <w:lvlJc w:val="left"/>
      <w:pPr>
        <w:ind w:left="2880" w:hanging="360"/>
      </w:pPr>
      <w:rPr>
        <w:rFonts w:ascii="Symbol" w:hAnsi="Symbol" w:hint="default"/>
      </w:rPr>
    </w:lvl>
    <w:lvl w:ilvl="4" w:tplc="A3687996" w:tentative="1">
      <w:start w:val="1"/>
      <w:numFmt w:val="bullet"/>
      <w:lvlText w:val="o"/>
      <w:lvlJc w:val="left"/>
      <w:pPr>
        <w:ind w:left="3600" w:hanging="360"/>
      </w:pPr>
      <w:rPr>
        <w:rFonts w:ascii="Courier New" w:hAnsi="Courier New" w:cs="Courier New" w:hint="default"/>
      </w:rPr>
    </w:lvl>
    <w:lvl w:ilvl="5" w:tplc="143CA602" w:tentative="1">
      <w:start w:val="1"/>
      <w:numFmt w:val="bullet"/>
      <w:lvlText w:val=""/>
      <w:lvlJc w:val="left"/>
      <w:pPr>
        <w:ind w:left="4320" w:hanging="360"/>
      </w:pPr>
      <w:rPr>
        <w:rFonts w:ascii="Wingdings" w:hAnsi="Wingdings" w:hint="default"/>
      </w:rPr>
    </w:lvl>
    <w:lvl w:ilvl="6" w:tplc="1640DCBE" w:tentative="1">
      <w:start w:val="1"/>
      <w:numFmt w:val="bullet"/>
      <w:lvlText w:val=""/>
      <w:lvlJc w:val="left"/>
      <w:pPr>
        <w:ind w:left="5040" w:hanging="360"/>
      </w:pPr>
      <w:rPr>
        <w:rFonts w:ascii="Symbol" w:hAnsi="Symbol" w:hint="default"/>
      </w:rPr>
    </w:lvl>
    <w:lvl w:ilvl="7" w:tplc="19E0FEAE" w:tentative="1">
      <w:start w:val="1"/>
      <w:numFmt w:val="bullet"/>
      <w:lvlText w:val="o"/>
      <w:lvlJc w:val="left"/>
      <w:pPr>
        <w:ind w:left="5760" w:hanging="360"/>
      </w:pPr>
      <w:rPr>
        <w:rFonts w:ascii="Courier New" w:hAnsi="Courier New" w:cs="Courier New" w:hint="default"/>
      </w:rPr>
    </w:lvl>
    <w:lvl w:ilvl="8" w:tplc="0F744A5C" w:tentative="1">
      <w:start w:val="1"/>
      <w:numFmt w:val="bullet"/>
      <w:lvlText w:val=""/>
      <w:lvlJc w:val="left"/>
      <w:pPr>
        <w:ind w:left="6480" w:hanging="360"/>
      </w:pPr>
      <w:rPr>
        <w:rFonts w:ascii="Wingdings" w:hAnsi="Wingdings" w:hint="default"/>
      </w:rPr>
    </w:lvl>
  </w:abstractNum>
  <w:abstractNum w:abstractNumId="6" w15:restartNumberingAfterBreak="0">
    <w:nsid w:val="72A61FED"/>
    <w:multiLevelType w:val="hybridMultilevel"/>
    <w:tmpl w:val="16AAEC20"/>
    <w:lvl w:ilvl="0" w:tplc="CB9E2792">
      <w:start w:val="1"/>
      <w:numFmt w:val="bullet"/>
      <w:lvlText w:val=""/>
      <w:lvlJc w:val="left"/>
      <w:pPr>
        <w:tabs>
          <w:tab w:val="num" w:pos="720"/>
        </w:tabs>
        <w:ind w:left="720" w:hanging="360"/>
      </w:pPr>
      <w:rPr>
        <w:rFonts w:ascii="Symbol" w:hAnsi="Symbol" w:hint="default"/>
      </w:rPr>
    </w:lvl>
    <w:lvl w:ilvl="1" w:tplc="53DA4872" w:tentative="1">
      <w:start w:val="1"/>
      <w:numFmt w:val="bullet"/>
      <w:lvlText w:val="o"/>
      <w:lvlJc w:val="left"/>
      <w:pPr>
        <w:ind w:left="1440" w:hanging="360"/>
      </w:pPr>
      <w:rPr>
        <w:rFonts w:ascii="Courier New" w:hAnsi="Courier New" w:cs="Courier New" w:hint="default"/>
      </w:rPr>
    </w:lvl>
    <w:lvl w:ilvl="2" w:tplc="9710BD26" w:tentative="1">
      <w:start w:val="1"/>
      <w:numFmt w:val="bullet"/>
      <w:lvlText w:val=""/>
      <w:lvlJc w:val="left"/>
      <w:pPr>
        <w:ind w:left="2160" w:hanging="360"/>
      </w:pPr>
      <w:rPr>
        <w:rFonts w:ascii="Wingdings" w:hAnsi="Wingdings" w:hint="default"/>
      </w:rPr>
    </w:lvl>
    <w:lvl w:ilvl="3" w:tplc="0DE421DC" w:tentative="1">
      <w:start w:val="1"/>
      <w:numFmt w:val="bullet"/>
      <w:lvlText w:val=""/>
      <w:lvlJc w:val="left"/>
      <w:pPr>
        <w:ind w:left="2880" w:hanging="360"/>
      </w:pPr>
      <w:rPr>
        <w:rFonts w:ascii="Symbol" w:hAnsi="Symbol" w:hint="default"/>
      </w:rPr>
    </w:lvl>
    <w:lvl w:ilvl="4" w:tplc="58029E8C" w:tentative="1">
      <w:start w:val="1"/>
      <w:numFmt w:val="bullet"/>
      <w:lvlText w:val="o"/>
      <w:lvlJc w:val="left"/>
      <w:pPr>
        <w:ind w:left="3600" w:hanging="360"/>
      </w:pPr>
      <w:rPr>
        <w:rFonts w:ascii="Courier New" w:hAnsi="Courier New" w:cs="Courier New" w:hint="default"/>
      </w:rPr>
    </w:lvl>
    <w:lvl w:ilvl="5" w:tplc="DC401D5A" w:tentative="1">
      <w:start w:val="1"/>
      <w:numFmt w:val="bullet"/>
      <w:lvlText w:val=""/>
      <w:lvlJc w:val="left"/>
      <w:pPr>
        <w:ind w:left="4320" w:hanging="360"/>
      </w:pPr>
      <w:rPr>
        <w:rFonts w:ascii="Wingdings" w:hAnsi="Wingdings" w:hint="default"/>
      </w:rPr>
    </w:lvl>
    <w:lvl w:ilvl="6" w:tplc="6C92A1D6" w:tentative="1">
      <w:start w:val="1"/>
      <w:numFmt w:val="bullet"/>
      <w:lvlText w:val=""/>
      <w:lvlJc w:val="left"/>
      <w:pPr>
        <w:ind w:left="5040" w:hanging="360"/>
      </w:pPr>
      <w:rPr>
        <w:rFonts w:ascii="Symbol" w:hAnsi="Symbol" w:hint="default"/>
      </w:rPr>
    </w:lvl>
    <w:lvl w:ilvl="7" w:tplc="2130AE28" w:tentative="1">
      <w:start w:val="1"/>
      <w:numFmt w:val="bullet"/>
      <w:lvlText w:val="o"/>
      <w:lvlJc w:val="left"/>
      <w:pPr>
        <w:ind w:left="5760" w:hanging="360"/>
      </w:pPr>
      <w:rPr>
        <w:rFonts w:ascii="Courier New" w:hAnsi="Courier New" w:cs="Courier New" w:hint="default"/>
      </w:rPr>
    </w:lvl>
    <w:lvl w:ilvl="8" w:tplc="C614A02A" w:tentative="1">
      <w:start w:val="1"/>
      <w:numFmt w:val="bullet"/>
      <w:lvlText w:val=""/>
      <w:lvlJc w:val="left"/>
      <w:pPr>
        <w:ind w:left="6480" w:hanging="360"/>
      </w:pPr>
      <w:rPr>
        <w:rFonts w:ascii="Wingdings" w:hAnsi="Wingdings" w:hint="default"/>
      </w:rPr>
    </w:lvl>
  </w:abstractNum>
  <w:abstractNum w:abstractNumId="7" w15:restartNumberingAfterBreak="0">
    <w:nsid w:val="74FE0B06"/>
    <w:multiLevelType w:val="hybridMultilevel"/>
    <w:tmpl w:val="0BFE560C"/>
    <w:lvl w:ilvl="0" w:tplc="748EEF92">
      <w:start w:val="1"/>
      <w:numFmt w:val="bullet"/>
      <w:lvlText w:val=""/>
      <w:lvlJc w:val="left"/>
      <w:pPr>
        <w:tabs>
          <w:tab w:val="num" w:pos="720"/>
        </w:tabs>
        <w:ind w:left="720" w:hanging="360"/>
      </w:pPr>
      <w:rPr>
        <w:rFonts w:ascii="Symbol" w:hAnsi="Symbol" w:hint="default"/>
      </w:rPr>
    </w:lvl>
    <w:lvl w:ilvl="1" w:tplc="698CB9A4" w:tentative="1">
      <w:start w:val="1"/>
      <w:numFmt w:val="bullet"/>
      <w:lvlText w:val="o"/>
      <w:lvlJc w:val="left"/>
      <w:pPr>
        <w:ind w:left="1440" w:hanging="360"/>
      </w:pPr>
      <w:rPr>
        <w:rFonts w:ascii="Courier New" w:hAnsi="Courier New" w:cs="Courier New" w:hint="default"/>
      </w:rPr>
    </w:lvl>
    <w:lvl w:ilvl="2" w:tplc="6F069E2E" w:tentative="1">
      <w:start w:val="1"/>
      <w:numFmt w:val="bullet"/>
      <w:lvlText w:val=""/>
      <w:lvlJc w:val="left"/>
      <w:pPr>
        <w:ind w:left="2160" w:hanging="360"/>
      </w:pPr>
      <w:rPr>
        <w:rFonts w:ascii="Wingdings" w:hAnsi="Wingdings" w:hint="default"/>
      </w:rPr>
    </w:lvl>
    <w:lvl w:ilvl="3" w:tplc="C390FE56" w:tentative="1">
      <w:start w:val="1"/>
      <w:numFmt w:val="bullet"/>
      <w:lvlText w:val=""/>
      <w:lvlJc w:val="left"/>
      <w:pPr>
        <w:ind w:left="2880" w:hanging="360"/>
      </w:pPr>
      <w:rPr>
        <w:rFonts w:ascii="Symbol" w:hAnsi="Symbol" w:hint="default"/>
      </w:rPr>
    </w:lvl>
    <w:lvl w:ilvl="4" w:tplc="D1EA8472" w:tentative="1">
      <w:start w:val="1"/>
      <w:numFmt w:val="bullet"/>
      <w:lvlText w:val="o"/>
      <w:lvlJc w:val="left"/>
      <w:pPr>
        <w:ind w:left="3600" w:hanging="360"/>
      </w:pPr>
      <w:rPr>
        <w:rFonts w:ascii="Courier New" w:hAnsi="Courier New" w:cs="Courier New" w:hint="default"/>
      </w:rPr>
    </w:lvl>
    <w:lvl w:ilvl="5" w:tplc="75FA5294" w:tentative="1">
      <w:start w:val="1"/>
      <w:numFmt w:val="bullet"/>
      <w:lvlText w:val=""/>
      <w:lvlJc w:val="left"/>
      <w:pPr>
        <w:ind w:left="4320" w:hanging="360"/>
      </w:pPr>
      <w:rPr>
        <w:rFonts w:ascii="Wingdings" w:hAnsi="Wingdings" w:hint="default"/>
      </w:rPr>
    </w:lvl>
    <w:lvl w:ilvl="6" w:tplc="7A92A400" w:tentative="1">
      <w:start w:val="1"/>
      <w:numFmt w:val="bullet"/>
      <w:lvlText w:val=""/>
      <w:lvlJc w:val="left"/>
      <w:pPr>
        <w:ind w:left="5040" w:hanging="360"/>
      </w:pPr>
      <w:rPr>
        <w:rFonts w:ascii="Symbol" w:hAnsi="Symbol" w:hint="default"/>
      </w:rPr>
    </w:lvl>
    <w:lvl w:ilvl="7" w:tplc="310867C4" w:tentative="1">
      <w:start w:val="1"/>
      <w:numFmt w:val="bullet"/>
      <w:lvlText w:val="o"/>
      <w:lvlJc w:val="left"/>
      <w:pPr>
        <w:ind w:left="5760" w:hanging="360"/>
      </w:pPr>
      <w:rPr>
        <w:rFonts w:ascii="Courier New" w:hAnsi="Courier New" w:cs="Courier New" w:hint="default"/>
      </w:rPr>
    </w:lvl>
    <w:lvl w:ilvl="8" w:tplc="570247E2"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4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3E92"/>
    <w:rsid w:val="0002413D"/>
    <w:rsid w:val="000249F2"/>
    <w:rsid w:val="00027E81"/>
    <w:rsid w:val="00030AD8"/>
    <w:rsid w:val="0003107A"/>
    <w:rsid w:val="00031C95"/>
    <w:rsid w:val="000330D4"/>
    <w:rsid w:val="00033DCE"/>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DAB"/>
    <w:rsid w:val="00080D95"/>
    <w:rsid w:val="00090E6B"/>
    <w:rsid w:val="00091B2C"/>
    <w:rsid w:val="00092ABC"/>
    <w:rsid w:val="00092ED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F5B"/>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7C6"/>
    <w:rsid w:val="001B26D8"/>
    <w:rsid w:val="001B3BFA"/>
    <w:rsid w:val="001B73B8"/>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562"/>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196"/>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216"/>
    <w:rsid w:val="00333930"/>
    <w:rsid w:val="00336BA4"/>
    <w:rsid w:val="00336C7A"/>
    <w:rsid w:val="00337392"/>
    <w:rsid w:val="00337659"/>
    <w:rsid w:val="0034206B"/>
    <w:rsid w:val="003427C9"/>
    <w:rsid w:val="00343A92"/>
    <w:rsid w:val="00344530"/>
    <w:rsid w:val="003446DC"/>
    <w:rsid w:val="00345119"/>
    <w:rsid w:val="00347B4A"/>
    <w:rsid w:val="003500C3"/>
    <w:rsid w:val="003523BD"/>
    <w:rsid w:val="00352681"/>
    <w:rsid w:val="003536AA"/>
    <w:rsid w:val="00353A12"/>
    <w:rsid w:val="003544CE"/>
    <w:rsid w:val="00355A98"/>
    <w:rsid w:val="00355D7E"/>
    <w:rsid w:val="003568DE"/>
    <w:rsid w:val="00357CA1"/>
    <w:rsid w:val="00361FE9"/>
    <w:rsid w:val="003624F2"/>
    <w:rsid w:val="00363854"/>
    <w:rsid w:val="00364315"/>
    <w:rsid w:val="003643E2"/>
    <w:rsid w:val="00370155"/>
    <w:rsid w:val="003705D0"/>
    <w:rsid w:val="003712D5"/>
    <w:rsid w:val="003747DF"/>
    <w:rsid w:val="00377E3D"/>
    <w:rsid w:val="003844B7"/>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1AB"/>
    <w:rsid w:val="003C5369"/>
    <w:rsid w:val="003C664C"/>
    <w:rsid w:val="003D1890"/>
    <w:rsid w:val="003D726D"/>
    <w:rsid w:val="003E0875"/>
    <w:rsid w:val="003E0BB8"/>
    <w:rsid w:val="003E6CB0"/>
    <w:rsid w:val="003F1F5E"/>
    <w:rsid w:val="003F286A"/>
    <w:rsid w:val="003F30F9"/>
    <w:rsid w:val="003F77F8"/>
    <w:rsid w:val="003F7A07"/>
    <w:rsid w:val="00400ACD"/>
    <w:rsid w:val="00403A37"/>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7E6"/>
    <w:rsid w:val="00441016"/>
    <w:rsid w:val="00441F2F"/>
    <w:rsid w:val="0044228B"/>
    <w:rsid w:val="00447018"/>
    <w:rsid w:val="00450561"/>
    <w:rsid w:val="00450A40"/>
    <w:rsid w:val="00451D7C"/>
    <w:rsid w:val="00452FC3"/>
    <w:rsid w:val="00454715"/>
    <w:rsid w:val="00455936"/>
    <w:rsid w:val="00455ACE"/>
    <w:rsid w:val="00461B69"/>
    <w:rsid w:val="00462B3D"/>
    <w:rsid w:val="004719D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59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84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0A6"/>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311"/>
    <w:rsid w:val="0061159E"/>
    <w:rsid w:val="00614633"/>
    <w:rsid w:val="00614BC8"/>
    <w:rsid w:val="006151FB"/>
    <w:rsid w:val="00616182"/>
    <w:rsid w:val="00617411"/>
    <w:rsid w:val="006249CB"/>
    <w:rsid w:val="006272DD"/>
    <w:rsid w:val="00630963"/>
    <w:rsid w:val="00631897"/>
    <w:rsid w:val="00632928"/>
    <w:rsid w:val="006330DA"/>
    <w:rsid w:val="00633262"/>
    <w:rsid w:val="00633460"/>
    <w:rsid w:val="0063561C"/>
    <w:rsid w:val="006402E7"/>
    <w:rsid w:val="00640CB6"/>
    <w:rsid w:val="00641B42"/>
    <w:rsid w:val="00645750"/>
    <w:rsid w:val="00650692"/>
    <w:rsid w:val="006508D3"/>
    <w:rsid w:val="00650AFA"/>
    <w:rsid w:val="0065339E"/>
    <w:rsid w:val="00662B77"/>
    <w:rsid w:val="00662D0E"/>
    <w:rsid w:val="00663265"/>
    <w:rsid w:val="0066345F"/>
    <w:rsid w:val="0066485B"/>
    <w:rsid w:val="0067036E"/>
    <w:rsid w:val="00671693"/>
    <w:rsid w:val="0067280F"/>
    <w:rsid w:val="006757AA"/>
    <w:rsid w:val="00680485"/>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ABA"/>
    <w:rsid w:val="006D3005"/>
    <w:rsid w:val="006D504F"/>
    <w:rsid w:val="006E0CAC"/>
    <w:rsid w:val="006E1CFB"/>
    <w:rsid w:val="006E1F94"/>
    <w:rsid w:val="006E26C1"/>
    <w:rsid w:val="006E30A8"/>
    <w:rsid w:val="006E45B0"/>
    <w:rsid w:val="006E5692"/>
    <w:rsid w:val="006F365D"/>
    <w:rsid w:val="006F4BB0"/>
    <w:rsid w:val="00702669"/>
    <w:rsid w:val="007031BD"/>
    <w:rsid w:val="00703E80"/>
    <w:rsid w:val="00705276"/>
    <w:rsid w:val="007066A0"/>
    <w:rsid w:val="007075FB"/>
    <w:rsid w:val="0070787B"/>
    <w:rsid w:val="0071131D"/>
    <w:rsid w:val="00711E3D"/>
    <w:rsid w:val="00711E85"/>
    <w:rsid w:val="00712DDA"/>
    <w:rsid w:val="00712F00"/>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662"/>
    <w:rsid w:val="007B6D22"/>
    <w:rsid w:val="007B7B85"/>
    <w:rsid w:val="007C2FCD"/>
    <w:rsid w:val="007C462E"/>
    <w:rsid w:val="007C496B"/>
    <w:rsid w:val="007C6803"/>
    <w:rsid w:val="007D2892"/>
    <w:rsid w:val="007D2DCC"/>
    <w:rsid w:val="007D47E1"/>
    <w:rsid w:val="007D7FCB"/>
    <w:rsid w:val="007E1380"/>
    <w:rsid w:val="007E33B6"/>
    <w:rsid w:val="007E59E8"/>
    <w:rsid w:val="007E689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C45"/>
    <w:rsid w:val="008B05D8"/>
    <w:rsid w:val="008B0B3D"/>
    <w:rsid w:val="008B2B1A"/>
    <w:rsid w:val="008B3428"/>
    <w:rsid w:val="008B4A91"/>
    <w:rsid w:val="008B7785"/>
    <w:rsid w:val="008B79F2"/>
    <w:rsid w:val="008C0809"/>
    <w:rsid w:val="008C132C"/>
    <w:rsid w:val="008C3FD0"/>
    <w:rsid w:val="008C6C6B"/>
    <w:rsid w:val="008D27A5"/>
    <w:rsid w:val="008D2AAB"/>
    <w:rsid w:val="008D309C"/>
    <w:rsid w:val="008D58F9"/>
    <w:rsid w:val="008D7427"/>
    <w:rsid w:val="008E3338"/>
    <w:rsid w:val="008E47BE"/>
    <w:rsid w:val="008F09DF"/>
    <w:rsid w:val="008F0CAB"/>
    <w:rsid w:val="008F3053"/>
    <w:rsid w:val="008F3136"/>
    <w:rsid w:val="008F40DF"/>
    <w:rsid w:val="008F5E16"/>
    <w:rsid w:val="008F5EFC"/>
    <w:rsid w:val="008F7227"/>
    <w:rsid w:val="00901670"/>
    <w:rsid w:val="00902212"/>
    <w:rsid w:val="00903E0A"/>
    <w:rsid w:val="00904721"/>
    <w:rsid w:val="00907780"/>
    <w:rsid w:val="00907EDD"/>
    <w:rsid w:val="009107AD"/>
    <w:rsid w:val="00915568"/>
    <w:rsid w:val="009170D4"/>
    <w:rsid w:val="00917C5A"/>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482"/>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8F8"/>
    <w:rsid w:val="009C2A33"/>
    <w:rsid w:val="009C2E49"/>
    <w:rsid w:val="009C36CD"/>
    <w:rsid w:val="009C43A5"/>
    <w:rsid w:val="009C5A1D"/>
    <w:rsid w:val="009C6B08"/>
    <w:rsid w:val="009C70FC"/>
    <w:rsid w:val="009D002B"/>
    <w:rsid w:val="009D37C7"/>
    <w:rsid w:val="009D4BBD"/>
    <w:rsid w:val="009D5A41"/>
    <w:rsid w:val="009D63FF"/>
    <w:rsid w:val="009D7185"/>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483"/>
    <w:rsid w:val="00A54C42"/>
    <w:rsid w:val="00A572B1"/>
    <w:rsid w:val="00A577AF"/>
    <w:rsid w:val="00A60177"/>
    <w:rsid w:val="00A61C27"/>
    <w:rsid w:val="00A62638"/>
    <w:rsid w:val="00A6344D"/>
    <w:rsid w:val="00A644B8"/>
    <w:rsid w:val="00A70C72"/>
    <w:rsid w:val="00A70E35"/>
    <w:rsid w:val="00A720DC"/>
    <w:rsid w:val="00A803CF"/>
    <w:rsid w:val="00A8133F"/>
    <w:rsid w:val="00A82CB4"/>
    <w:rsid w:val="00A837A8"/>
    <w:rsid w:val="00A83C36"/>
    <w:rsid w:val="00A845FA"/>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611"/>
    <w:rsid w:val="00AC5AAB"/>
    <w:rsid w:val="00AC5AEC"/>
    <w:rsid w:val="00AC5F28"/>
    <w:rsid w:val="00AC6900"/>
    <w:rsid w:val="00AD304B"/>
    <w:rsid w:val="00AD4497"/>
    <w:rsid w:val="00AD7780"/>
    <w:rsid w:val="00AE2263"/>
    <w:rsid w:val="00AE248E"/>
    <w:rsid w:val="00AE2D12"/>
    <w:rsid w:val="00AE2F06"/>
    <w:rsid w:val="00AE4F1C"/>
    <w:rsid w:val="00AE730E"/>
    <w:rsid w:val="00AF1433"/>
    <w:rsid w:val="00AF48B4"/>
    <w:rsid w:val="00AF4923"/>
    <w:rsid w:val="00AF7C74"/>
    <w:rsid w:val="00B000AF"/>
    <w:rsid w:val="00B04E79"/>
    <w:rsid w:val="00B07488"/>
    <w:rsid w:val="00B075A2"/>
    <w:rsid w:val="00B10DD2"/>
    <w:rsid w:val="00B1115B"/>
    <w:rsid w:val="00B115DC"/>
    <w:rsid w:val="00B11952"/>
    <w:rsid w:val="00B149AC"/>
    <w:rsid w:val="00B14BD2"/>
    <w:rsid w:val="00B1557F"/>
    <w:rsid w:val="00B1668D"/>
    <w:rsid w:val="00B16E7A"/>
    <w:rsid w:val="00B1756A"/>
    <w:rsid w:val="00B17981"/>
    <w:rsid w:val="00B22250"/>
    <w:rsid w:val="00B233BB"/>
    <w:rsid w:val="00B25612"/>
    <w:rsid w:val="00B26437"/>
    <w:rsid w:val="00B2678E"/>
    <w:rsid w:val="00B30647"/>
    <w:rsid w:val="00B316DE"/>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55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3E5"/>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DB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A87"/>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83A"/>
    <w:rsid w:val="00D11B0B"/>
    <w:rsid w:val="00D12A3E"/>
    <w:rsid w:val="00D22160"/>
    <w:rsid w:val="00D22172"/>
    <w:rsid w:val="00D2301B"/>
    <w:rsid w:val="00D239EE"/>
    <w:rsid w:val="00D266B1"/>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4F9F"/>
    <w:rsid w:val="00D97E00"/>
    <w:rsid w:val="00DA00BC"/>
    <w:rsid w:val="00DA0E22"/>
    <w:rsid w:val="00DA1EFA"/>
    <w:rsid w:val="00DA25E7"/>
    <w:rsid w:val="00DA3687"/>
    <w:rsid w:val="00DA39F2"/>
    <w:rsid w:val="00DA564B"/>
    <w:rsid w:val="00DA6A5C"/>
    <w:rsid w:val="00DA7EB5"/>
    <w:rsid w:val="00DB311F"/>
    <w:rsid w:val="00DB53C6"/>
    <w:rsid w:val="00DB59E3"/>
    <w:rsid w:val="00DB6CB6"/>
    <w:rsid w:val="00DB758F"/>
    <w:rsid w:val="00DC1F1B"/>
    <w:rsid w:val="00DC2E73"/>
    <w:rsid w:val="00DC3D8F"/>
    <w:rsid w:val="00DC42E8"/>
    <w:rsid w:val="00DC4E9E"/>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09E"/>
    <w:rsid w:val="00DF2707"/>
    <w:rsid w:val="00DF4D90"/>
    <w:rsid w:val="00DF51CC"/>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AF8"/>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261"/>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1E6"/>
    <w:rsid w:val="00E625DA"/>
    <w:rsid w:val="00E634DC"/>
    <w:rsid w:val="00E667F3"/>
    <w:rsid w:val="00E67794"/>
    <w:rsid w:val="00E70CC6"/>
    <w:rsid w:val="00E71254"/>
    <w:rsid w:val="00E73CCD"/>
    <w:rsid w:val="00E76453"/>
    <w:rsid w:val="00E77282"/>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1B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331"/>
    <w:rsid w:val="00F11E04"/>
    <w:rsid w:val="00F12B24"/>
    <w:rsid w:val="00F12BC7"/>
    <w:rsid w:val="00F15223"/>
    <w:rsid w:val="00F15831"/>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FD8"/>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7EB9"/>
    <w:rsid w:val="00FB16CD"/>
    <w:rsid w:val="00FB73AE"/>
    <w:rsid w:val="00FC5388"/>
    <w:rsid w:val="00FC726C"/>
    <w:rsid w:val="00FD19A7"/>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A447D7-56C7-4801-BF18-2BB0D5BA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C51AB"/>
    <w:rPr>
      <w:sz w:val="16"/>
      <w:szCs w:val="16"/>
    </w:rPr>
  </w:style>
  <w:style w:type="paragraph" w:styleId="CommentText">
    <w:name w:val="annotation text"/>
    <w:basedOn w:val="Normal"/>
    <w:link w:val="CommentTextChar"/>
    <w:semiHidden/>
    <w:unhideWhenUsed/>
    <w:rsid w:val="003C51AB"/>
    <w:rPr>
      <w:sz w:val="20"/>
      <w:szCs w:val="20"/>
    </w:rPr>
  </w:style>
  <w:style w:type="character" w:customStyle="1" w:styleId="CommentTextChar">
    <w:name w:val="Comment Text Char"/>
    <w:basedOn w:val="DefaultParagraphFont"/>
    <w:link w:val="CommentText"/>
    <w:semiHidden/>
    <w:rsid w:val="003C51AB"/>
  </w:style>
  <w:style w:type="character" w:styleId="Hyperlink">
    <w:name w:val="Hyperlink"/>
    <w:basedOn w:val="DefaultParagraphFont"/>
    <w:unhideWhenUsed/>
    <w:rsid w:val="003C51AB"/>
    <w:rPr>
      <w:color w:val="0000FF" w:themeColor="hyperlink"/>
      <w:u w:val="single"/>
    </w:rPr>
  </w:style>
  <w:style w:type="paragraph" w:styleId="CommentSubject">
    <w:name w:val="annotation subject"/>
    <w:basedOn w:val="CommentText"/>
    <w:next w:val="CommentText"/>
    <w:link w:val="CommentSubjectChar"/>
    <w:semiHidden/>
    <w:unhideWhenUsed/>
    <w:rsid w:val="00F15831"/>
    <w:rPr>
      <w:b/>
      <w:bCs/>
    </w:rPr>
  </w:style>
  <w:style w:type="character" w:customStyle="1" w:styleId="CommentSubjectChar">
    <w:name w:val="Comment Subject Char"/>
    <w:basedOn w:val="CommentTextChar"/>
    <w:link w:val="CommentSubject"/>
    <w:semiHidden/>
    <w:rsid w:val="00F15831"/>
    <w:rPr>
      <w:b/>
      <w:bCs/>
    </w:rPr>
  </w:style>
  <w:style w:type="character" w:customStyle="1" w:styleId="UnresolvedMention1">
    <w:name w:val="Unresolved Mention1"/>
    <w:basedOn w:val="DefaultParagraphFont"/>
    <w:uiPriority w:val="99"/>
    <w:semiHidden/>
    <w:unhideWhenUsed/>
    <w:rsid w:val="00F15831"/>
    <w:rPr>
      <w:color w:val="605E5C"/>
      <w:shd w:val="clear" w:color="auto" w:fill="E1DFDD"/>
    </w:rPr>
  </w:style>
  <w:style w:type="paragraph" w:styleId="ListParagraph">
    <w:name w:val="List Paragraph"/>
    <w:basedOn w:val="Normal"/>
    <w:uiPriority w:val="34"/>
    <w:qFormat/>
    <w:rsid w:val="007B6D22"/>
    <w:pPr>
      <w:ind w:left="720"/>
      <w:contextualSpacing/>
    </w:pPr>
  </w:style>
  <w:style w:type="character" w:styleId="FollowedHyperlink">
    <w:name w:val="FollowedHyperlink"/>
    <w:basedOn w:val="DefaultParagraphFont"/>
    <w:semiHidden/>
    <w:unhideWhenUsed/>
    <w:rsid w:val="004A2597"/>
    <w:rPr>
      <w:color w:val="800080" w:themeColor="followedHyperlink"/>
      <w:u w:val="single"/>
    </w:rPr>
  </w:style>
  <w:style w:type="paragraph" w:styleId="Revision">
    <w:name w:val="Revision"/>
    <w:hidden/>
    <w:uiPriority w:val="99"/>
    <w:semiHidden/>
    <w:rsid w:val="006161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10390</Characters>
  <Application>Microsoft Office Word</Application>
  <DocSecurity>4</DocSecurity>
  <Lines>207</Lines>
  <Paragraphs>61</Paragraphs>
  <ScaleCrop>false</ScaleCrop>
  <HeadingPairs>
    <vt:vector size="2" baseType="variant">
      <vt:variant>
        <vt:lpstr>Title</vt:lpstr>
      </vt:variant>
      <vt:variant>
        <vt:i4>1</vt:i4>
      </vt:variant>
    </vt:vector>
  </HeadingPairs>
  <TitlesOfParts>
    <vt:vector size="1" baseType="lpstr">
      <vt:lpstr>BA - HB04885 (Committee Report (Substituted))</vt:lpstr>
    </vt:vector>
  </TitlesOfParts>
  <Company>State of Texas</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22816</dc:subject>
  <dc:creator>State of Texas</dc:creator>
  <dc:description>HB 4885 by Landgraf-(H)Environmental Regulation (Substitute Document Number: 88R 21958)</dc:description>
  <cp:lastModifiedBy>Matthew Lee</cp:lastModifiedBy>
  <cp:revision>2</cp:revision>
  <cp:lastPrinted>2003-11-26T17:21:00Z</cp:lastPrinted>
  <dcterms:created xsi:type="dcterms:W3CDTF">2023-04-18T20:56:00Z</dcterms:created>
  <dcterms:modified xsi:type="dcterms:W3CDTF">2023-04-18T20:56:00Z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23.101.289</vt:lpwstr>
  </property>
</Properties>
</file>