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4EF9" w14:paraId="62CB6844" w14:textId="77777777" w:rsidTr="00345119">
        <w:tc>
          <w:tcPr>
            <w:tcW w:w="9576" w:type="dxa"/>
            <w:noWrap/>
          </w:tcPr>
          <w:p w14:paraId="5D676646" w14:textId="77777777" w:rsidR="008423E4" w:rsidRPr="0022177D" w:rsidRDefault="00C1395D" w:rsidP="007E5D40">
            <w:pPr>
              <w:pStyle w:val="Heading1"/>
              <w:mirrorIndents/>
            </w:pPr>
            <w:r w:rsidRPr="00631897">
              <w:t>BILL ANALYSIS</w:t>
            </w:r>
          </w:p>
        </w:tc>
      </w:tr>
    </w:tbl>
    <w:p w14:paraId="306BD491" w14:textId="77777777" w:rsidR="008423E4" w:rsidRPr="0022177D" w:rsidRDefault="008423E4" w:rsidP="007E5D40">
      <w:pPr>
        <w:mirrorIndents/>
        <w:jc w:val="center"/>
      </w:pPr>
    </w:p>
    <w:p w14:paraId="33C68CAD" w14:textId="77777777" w:rsidR="008423E4" w:rsidRPr="00B31F0E" w:rsidRDefault="008423E4" w:rsidP="007E5D40">
      <w:pPr>
        <w:mirrorIndents/>
      </w:pPr>
    </w:p>
    <w:p w14:paraId="630FA60E" w14:textId="77777777" w:rsidR="008423E4" w:rsidRPr="00742794" w:rsidRDefault="008423E4" w:rsidP="007E5D40">
      <w:pPr>
        <w:tabs>
          <w:tab w:val="right" w:pos="9360"/>
        </w:tabs>
        <w:mirrorIndents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4EF9" w14:paraId="5BE7D624" w14:textId="77777777" w:rsidTr="00345119">
        <w:tc>
          <w:tcPr>
            <w:tcW w:w="9576" w:type="dxa"/>
          </w:tcPr>
          <w:p w14:paraId="6A6265CA" w14:textId="04119E80" w:rsidR="008423E4" w:rsidRPr="00861995" w:rsidRDefault="00C1395D" w:rsidP="007E5D40">
            <w:pPr>
              <w:mirrorIndents/>
              <w:jc w:val="right"/>
            </w:pPr>
            <w:r>
              <w:t>C.S.H.B. 4944</w:t>
            </w:r>
          </w:p>
        </w:tc>
      </w:tr>
      <w:tr w:rsidR="001A4EF9" w14:paraId="22D2CBFE" w14:textId="77777777" w:rsidTr="00345119">
        <w:tc>
          <w:tcPr>
            <w:tcW w:w="9576" w:type="dxa"/>
          </w:tcPr>
          <w:p w14:paraId="680F0229" w14:textId="2D8B6B0A" w:rsidR="008423E4" w:rsidRPr="00861995" w:rsidRDefault="00C1395D" w:rsidP="007E5D40">
            <w:pPr>
              <w:mirrorIndents/>
              <w:jc w:val="right"/>
            </w:pPr>
            <w:r>
              <w:t xml:space="preserve">By: </w:t>
            </w:r>
            <w:r w:rsidR="00214965">
              <w:t>Buckley</w:t>
            </w:r>
          </w:p>
        </w:tc>
      </w:tr>
      <w:tr w:rsidR="001A4EF9" w14:paraId="749EB261" w14:textId="77777777" w:rsidTr="00345119">
        <w:tc>
          <w:tcPr>
            <w:tcW w:w="9576" w:type="dxa"/>
          </w:tcPr>
          <w:p w14:paraId="0BE894BC" w14:textId="531B4094" w:rsidR="008423E4" w:rsidRPr="00861995" w:rsidRDefault="00C1395D" w:rsidP="007E5D40">
            <w:pPr>
              <w:mirrorIndents/>
              <w:jc w:val="right"/>
            </w:pPr>
            <w:r>
              <w:t>Public Education</w:t>
            </w:r>
          </w:p>
        </w:tc>
      </w:tr>
      <w:tr w:rsidR="001A4EF9" w14:paraId="13A8FA18" w14:textId="77777777" w:rsidTr="00345119">
        <w:tc>
          <w:tcPr>
            <w:tcW w:w="9576" w:type="dxa"/>
          </w:tcPr>
          <w:p w14:paraId="072E3B63" w14:textId="6904FA6A" w:rsidR="008423E4" w:rsidRDefault="00C1395D" w:rsidP="007E5D40">
            <w:pPr>
              <w:mirrorIndents/>
              <w:jc w:val="right"/>
            </w:pPr>
            <w:r>
              <w:t>Committee Report (Substituted)</w:t>
            </w:r>
          </w:p>
        </w:tc>
      </w:tr>
    </w:tbl>
    <w:p w14:paraId="548F15E0" w14:textId="77777777" w:rsidR="008423E4" w:rsidRDefault="008423E4" w:rsidP="007E5D40">
      <w:pPr>
        <w:tabs>
          <w:tab w:val="right" w:pos="9360"/>
        </w:tabs>
        <w:mirrorIndents/>
      </w:pPr>
    </w:p>
    <w:p w14:paraId="10472432" w14:textId="77777777" w:rsidR="008423E4" w:rsidRDefault="008423E4" w:rsidP="007E5D40">
      <w:pPr>
        <w:mirrorIndents/>
      </w:pPr>
    </w:p>
    <w:p w14:paraId="14444245" w14:textId="77777777" w:rsidR="008423E4" w:rsidRDefault="008423E4" w:rsidP="007E5D40">
      <w:pPr>
        <w:mirrorIndents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4EF9" w14:paraId="0335FAEB" w14:textId="77777777" w:rsidTr="00345119">
        <w:tc>
          <w:tcPr>
            <w:tcW w:w="9576" w:type="dxa"/>
          </w:tcPr>
          <w:p w14:paraId="19AF1C13" w14:textId="77777777" w:rsidR="008423E4" w:rsidRPr="00A8133F" w:rsidRDefault="00C1395D" w:rsidP="007E5D40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D4B18F" w14:textId="77777777" w:rsidR="008423E4" w:rsidRDefault="008423E4" w:rsidP="007E5D40">
            <w:pPr>
              <w:mirrorIndents/>
            </w:pPr>
          </w:p>
          <w:p w14:paraId="0274C2C7" w14:textId="1BDFABAF" w:rsidR="00932F8A" w:rsidRDefault="00C1395D" w:rsidP="007E5D40">
            <w:pPr>
              <w:pStyle w:val="Header"/>
              <w:mirrorIndents/>
              <w:jc w:val="both"/>
            </w:pPr>
            <w:r w:rsidRPr="00932F8A">
              <w:t xml:space="preserve">Cybersecurity and information security threats are concerns for government agencies across all sectors. Although under </w:t>
            </w:r>
            <w:r w:rsidRPr="00932F8A">
              <w:t>current law each</w:t>
            </w:r>
            <w:r w:rsidR="00E7314D">
              <w:t xml:space="preserve"> public</w:t>
            </w:r>
            <w:r w:rsidRPr="00932F8A">
              <w:t xml:space="preserve"> school district must adopt a cybersecurity policy, designate a cybersecurity coordinator, and report any security breaches to the Texas Education Agency (TEA), many of </w:t>
            </w:r>
            <w:r w:rsidR="005B181A">
              <w:t xml:space="preserve">Texas' </w:t>
            </w:r>
            <w:r w:rsidRPr="00932F8A">
              <w:t>districts</w:t>
            </w:r>
            <w:r w:rsidR="00E7314D">
              <w:t>, which number over 1,200,</w:t>
            </w:r>
            <w:r w:rsidRPr="00932F8A">
              <w:t xml:space="preserve"> need better resources</w:t>
            </w:r>
            <w:r w:rsidRPr="00932F8A">
              <w:t xml:space="preserve"> to </w:t>
            </w:r>
            <w:r w:rsidR="00E7314D">
              <w:t>protect against</w:t>
            </w:r>
            <w:r w:rsidRPr="00932F8A">
              <w:t xml:space="preserve"> sophisticated cyberattacks and data privacy threats.</w:t>
            </w:r>
            <w:r>
              <w:t xml:space="preserve"> </w:t>
            </w:r>
            <w:r w:rsidR="00E7314D">
              <w:t>L</w:t>
            </w:r>
            <w:r>
              <w:t>everag</w:t>
            </w:r>
            <w:r w:rsidR="00E7314D">
              <w:t>ing</w:t>
            </w:r>
            <w:r>
              <w:t xml:space="preserve"> state resources, state uniform standards, and state technical expertise</w:t>
            </w:r>
            <w:r w:rsidR="00E7314D">
              <w:t>,</w:t>
            </w:r>
            <w:r>
              <w:t xml:space="preserve"> instead of having districts each develop their own network</w:t>
            </w:r>
            <w:r w:rsidR="00E7314D">
              <w:t>, may allow</w:t>
            </w:r>
            <w:r>
              <w:t xml:space="preserve"> </w:t>
            </w:r>
            <w:r w:rsidR="00E7314D">
              <w:t>d</w:t>
            </w:r>
            <w:r>
              <w:t>istricts to focus on educati</w:t>
            </w:r>
            <w:r>
              <w:t xml:space="preserve">on delivery </w:t>
            </w:r>
            <w:r w:rsidR="00E7314D">
              <w:t xml:space="preserve">instead of using funds </w:t>
            </w:r>
            <w:r>
              <w:t>to add information security officers to their central administrative staff</w:t>
            </w:r>
            <w:r w:rsidR="00E7314D">
              <w:t>.</w:t>
            </w:r>
            <w:r>
              <w:t xml:space="preserve"> Uniform defense tools and common security features are easier to maintain and </w:t>
            </w:r>
            <w:r w:rsidR="005B181A">
              <w:t>oversee collectively,</w:t>
            </w:r>
            <w:r>
              <w:t xml:space="preserve"> instead of districts operating independently</w:t>
            </w:r>
            <w:r w:rsidR="005B181A">
              <w:t xml:space="preserve"> for such maintenance and oversight</w:t>
            </w:r>
            <w:r>
              <w:t xml:space="preserve">.  </w:t>
            </w:r>
          </w:p>
          <w:p w14:paraId="71B432ED" w14:textId="361F7585" w:rsidR="00D35798" w:rsidRDefault="00D35798" w:rsidP="007E5D40">
            <w:pPr>
              <w:pStyle w:val="Header"/>
              <w:mirrorIndents/>
              <w:jc w:val="both"/>
            </w:pPr>
          </w:p>
          <w:p w14:paraId="6FDDD2CF" w14:textId="7280B3A6" w:rsidR="00932F8A" w:rsidRDefault="00C1395D" w:rsidP="007E5D40">
            <w:pPr>
              <w:pStyle w:val="Header"/>
              <w:mirrorIndents/>
              <w:jc w:val="both"/>
            </w:pPr>
            <w:r>
              <w:t xml:space="preserve">C.S.H.B. 4944 seeks to provide for the development of cybersecurity controls and requirements through the function and expertise of both TEA </w:t>
            </w:r>
            <w:r w:rsidR="005B181A">
              <w:t xml:space="preserve">and </w:t>
            </w:r>
            <w:r>
              <w:t>the Department of Information Resources</w:t>
            </w:r>
            <w:r w:rsidR="00314FA1">
              <w:t xml:space="preserve"> (DIR)</w:t>
            </w:r>
            <w:r>
              <w:t>. The bill authorizes DIR t</w:t>
            </w:r>
            <w:r>
              <w:t xml:space="preserve">o provide technical assistance to districts and </w:t>
            </w:r>
            <w:r w:rsidR="00EB2D8B">
              <w:t xml:space="preserve">open-enrollment </w:t>
            </w:r>
            <w:r>
              <w:t xml:space="preserve">charter schools </w:t>
            </w:r>
            <w:r w:rsidR="006D3A40">
              <w:t>regarding the</w:t>
            </w:r>
            <w:r>
              <w:t xml:space="preserve"> cybersecurity controls</w:t>
            </w:r>
            <w:r w:rsidR="006D3A40">
              <w:t>,</w:t>
            </w:r>
            <w:r w:rsidR="00314FA1">
              <w:t xml:space="preserve"> requirements, and</w:t>
            </w:r>
            <w:r>
              <w:t xml:space="preserve"> network operations</w:t>
            </w:r>
            <w:r w:rsidR="006D3A40">
              <w:t xml:space="preserve"> and </w:t>
            </w:r>
            <w:r w:rsidR="00314FA1">
              <w:t xml:space="preserve">to </w:t>
            </w:r>
            <w:r>
              <w:t>perform a cyber</w:t>
            </w:r>
            <w:r w:rsidR="00314FA1">
              <w:t>security risk</w:t>
            </w:r>
            <w:r>
              <w:t xml:space="preserve"> assessment of a district </w:t>
            </w:r>
            <w:r w:rsidR="00314FA1">
              <w:t xml:space="preserve">or charter school </w:t>
            </w:r>
            <w:r w:rsidR="006D3A40">
              <w:t>on</w:t>
            </w:r>
            <w:r>
              <w:t xml:space="preserve"> request </w:t>
            </w:r>
            <w:r w:rsidR="006D3A40">
              <w:t xml:space="preserve">of specified entities. </w:t>
            </w:r>
          </w:p>
          <w:p w14:paraId="60504A0F" w14:textId="77777777" w:rsidR="008423E4" w:rsidRPr="00E26B13" w:rsidRDefault="008423E4" w:rsidP="007E5D40">
            <w:pPr>
              <w:mirrorIndents/>
              <w:rPr>
                <w:b/>
              </w:rPr>
            </w:pPr>
          </w:p>
        </w:tc>
      </w:tr>
      <w:tr w:rsidR="001A4EF9" w14:paraId="65A35E27" w14:textId="77777777" w:rsidTr="00345119">
        <w:tc>
          <w:tcPr>
            <w:tcW w:w="9576" w:type="dxa"/>
          </w:tcPr>
          <w:p w14:paraId="48E7B833" w14:textId="77777777" w:rsidR="0017725B" w:rsidRDefault="00C1395D" w:rsidP="007E5D40">
            <w:pPr>
              <w:mirrorIndents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926A85" w14:textId="77777777" w:rsidR="0017725B" w:rsidRDefault="0017725B" w:rsidP="007E5D40">
            <w:pPr>
              <w:mirrorIndents/>
              <w:rPr>
                <w:b/>
                <w:u w:val="single"/>
              </w:rPr>
            </w:pPr>
          </w:p>
          <w:p w14:paraId="6A12B59C" w14:textId="6ACE0D57" w:rsidR="0007499C" w:rsidRPr="0007499C" w:rsidRDefault="00C1395D" w:rsidP="007E5D40">
            <w:pPr>
              <w:mirrorIndents/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580F7FB6" w14:textId="77777777" w:rsidR="0017725B" w:rsidRPr="0017725B" w:rsidRDefault="0017725B" w:rsidP="007E5D40">
            <w:pPr>
              <w:mirrorIndents/>
              <w:rPr>
                <w:b/>
                <w:u w:val="single"/>
              </w:rPr>
            </w:pPr>
          </w:p>
        </w:tc>
      </w:tr>
      <w:tr w:rsidR="001A4EF9" w14:paraId="3B33BCDC" w14:textId="77777777" w:rsidTr="00345119">
        <w:tc>
          <w:tcPr>
            <w:tcW w:w="9576" w:type="dxa"/>
          </w:tcPr>
          <w:p w14:paraId="475FF3BB" w14:textId="77777777" w:rsidR="008423E4" w:rsidRPr="00A8133F" w:rsidRDefault="00C1395D" w:rsidP="007E5D40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16268C" w14:textId="77777777" w:rsidR="008423E4" w:rsidRDefault="008423E4" w:rsidP="007E5D40">
            <w:pPr>
              <w:mirrorIndents/>
            </w:pPr>
          </w:p>
          <w:p w14:paraId="0CF776A9" w14:textId="52272946" w:rsidR="00432BCA" w:rsidRDefault="00C1395D" w:rsidP="007E5D40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>
              <w:t xml:space="preserve">It is the committee's opinion that rulemaking authority is expressly granted to the commissioner of education in </w:t>
            </w:r>
            <w:r w:rsidR="0007499C">
              <w:t xml:space="preserve">SECTION 2 of this bill, the </w:t>
            </w:r>
            <w:r w:rsidR="0007499C" w:rsidRPr="0007499C">
              <w:t>Department of Information Resources</w:t>
            </w:r>
            <w:r w:rsidR="0007499C">
              <w:t xml:space="preserve"> in </w:t>
            </w:r>
            <w:r w:rsidR="006A124D">
              <w:t>SECTION </w:t>
            </w:r>
            <w:r w:rsidR="0007499C">
              <w:t xml:space="preserve">3 </w:t>
            </w:r>
            <w:r>
              <w:t>of this bill</w:t>
            </w:r>
            <w:r w:rsidR="0007499C">
              <w:t>, and the Texas Education Agency in SECTION 7 of this bill</w:t>
            </w:r>
            <w:r>
              <w:t>.</w:t>
            </w:r>
          </w:p>
          <w:p w14:paraId="01BFEEAB" w14:textId="77777777" w:rsidR="008423E4" w:rsidRPr="00E21FDC" w:rsidRDefault="008423E4" w:rsidP="007E5D40">
            <w:pPr>
              <w:mirrorIndents/>
              <w:rPr>
                <w:b/>
              </w:rPr>
            </w:pPr>
          </w:p>
        </w:tc>
      </w:tr>
      <w:tr w:rsidR="001A4EF9" w14:paraId="73F3B3CD" w14:textId="77777777" w:rsidTr="00345119">
        <w:tc>
          <w:tcPr>
            <w:tcW w:w="9576" w:type="dxa"/>
          </w:tcPr>
          <w:p w14:paraId="4AE11A3E" w14:textId="77777777" w:rsidR="008423E4" w:rsidRPr="00A8133F" w:rsidRDefault="00C1395D" w:rsidP="007E5D40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B89098" w14:textId="77777777" w:rsidR="008423E4" w:rsidRDefault="008423E4" w:rsidP="007E5D40">
            <w:pPr>
              <w:mirrorIndents/>
            </w:pPr>
          </w:p>
          <w:p w14:paraId="5BA1633D" w14:textId="6BF5A3EC" w:rsidR="003D21B5" w:rsidRDefault="00C1395D" w:rsidP="007E5D40">
            <w:pPr>
              <w:pStyle w:val="Header"/>
              <w:mirrorIndents/>
              <w:jc w:val="both"/>
            </w:pPr>
            <w:r>
              <w:t>C.S.</w:t>
            </w:r>
            <w:r w:rsidR="00020DDC">
              <w:t xml:space="preserve">H.B. 4944 amends the Education Code to require </w:t>
            </w:r>
            <w:r>
              <w:t>the Texas Education Agency (TEA)</w:t>
            </w:r>
            <w:r w:rsidRPr="003D21B5">
              <w:t xml:space="preserve">, a </w:t>
            </w:r>
            <w:r>
              <w:t xml:space="preserve">public </w:t>
            </w:r>
            <w:r w:rsidRPr="00020DDC">
              <w:t xml:space="preserve">school </w:t>
            </w:r>
            <w:r w:rsidRPr="003D21B5">
              <w:t xml:space="preserve">district, or </w:t>
            </w:r>
            <w:r>
              <w:t xml:space="preserve">an </w:t>
            </w:r>
            <w:r w:rsidRPr="00020DDC">
              <w:t xml:space="preserve">open-enrollment </w:t>
            </w:r>
            <w:r w:rsidRPr="003D21B5">
              <w:t>charter school, as applicable</w:t>
            </w:r>
            <w:r w:rsidR="008C43D4">
              <w:t>,</w:t>
            </w:r>
            <w:r w:rsidRPr="003D21B5">
              <w:t xml:space="preserve"> to protect the privacy of student education records in a manner that is a</w:t>
            </w:r>
            <w:r w:rsidRPr="003D21B5">
              <w:t xml:space="preserve">t least as stringent as that provided under the </w:t>
            </w:r>
            <w:r w:rsidR="002B4F2A">
              <w:t xml:space="preserve">federal </w:t>
            </w:r>
            <w:r w:rsidRPr="003D21B5">
              <w:t>Family Educational Rights and Privacy Act of 1974, as that law existed on January 1,</w:t>
            </w:r>
            <w:r w:rsidR="002B4F2A">
              <w:t xml:space="preserve"> </w:t>
            </w:r>
            <w:r w:rsidRPr="003D21B5">
              <w:t>2023</w:t>
            </w:r>
            <w:r>
              <w:t xml:space="preserve">. </w:t>
            </w:r>
          </w:p>
          <w:p w14:paraId="0BE87233" w14:textId="77777777" w:rsidR="003D21B5" w:rsidRDefault="003D21B5" w:rsidP="007E5D40">
            <w:pPr>
              <w:pStyle w:val="Header"/>
              <w:mirrorIndents/>
              <w:jc w:val="both"/>
            </w:pPr>
          </w:p>
          <w:p w14:paraId="03BC9E87" w14:textId="4BCB44A8" w:rsidR="00E75A53" w:rsidRDefault="00C1395D" w:rsidP="007E5D40">
            <w:pPr>
              <w:pStyle w:val="Header"/>
              <w:mirrorIndents/>
              <w:jc w:val="both"/>
            </w:pPr>
            <w:r>
              <w:t>C.S.H.B</w:t>
            </w:r>
            <w:r w:rsidR="00677D4A">
              <w:t>.</w:t>
            </w:r>
            <w:r>
              <w:t xml:space="preserve"> 4944 requires </w:t>
            </w:r>
            <w:r w:rsidR="00020DDC">
              <w:t xml:space="preserve">the </w:t>
            </w:r>
            <w:r w:rsidR="00020DDC" w:rsidRPr="00020DDC">
              <w:t xml:space="preserve">commissioner </w:t>
            </w:r>
            <w:r w:rsidR="00020DDC">
              <w:t>of education to</w:t>
            </w:r>
            <w:r w:rsidR="00020DDC" w:rsidRPr="00020DDC">
              <w:t xml:space="preserve"> adopt cybersecurity controls and requirements for districts, </w:t>
            </w:r>
            <w:r w:rsidR="004E1A70">
              <w:t xml:space="preserve">open-enrollment </w:t>
            </w:r>
            <w:r w:rsidR="00020DDC" w:rsidRPr="00020DDC">
              <w:t xml:space="preserve">charter schools, and district and </w:t>
            </w:r>
            <w:r w:rsidR="00C47C9A">
              <w:t xml:space="preserve">charter </w:t>
            </w:r>
            <w:r w:rsidR="00020DDC" w:rsidRPr="00020DDC">
              <w:t>school vendors in consultation with and as recommended by the Department of Information Resources</w:t>
            </w:r>
            <w:r w:rsidR="00020DDC">
              <w:t xml:space="preserve"> (DIR). The bill requires e</w:t>
            </w:r>
            <w:r w:rsidR="00020DDC" w:rsidRPr="00020DDC">
              <w:t xml:space="preserve">ach district and charter school </w:t>
            </w:r>
            <w:r w:rsidR="00020DDC">
              <w:t>to</w:t>
            </w:r>
            <w:r w:rsidR="00020DDC" w:rsidRPr="00020DDC">
              <w:t xml:space="preserve"> implement th</w:t>
            </w:r>
            <w:r w:rsidR="00197E0C">
              <w:t>ose</w:t>
            </w:r>
            <w:r w:rsidR="00020DDC" w:rsidRPr="00020DDC">
              <w:t xml:space="preserve"> cybersecurity controls and requirements</w:t>
            </w:r>
            <w:r w:rsidR="004E1A70">
              <w:t>.</w:t>
            </w:r>
            <w:r w:rsidR="00020DDC" w:rsidRPr="00020DDC">
              <w:t xml:space="preserve"> </w:t>
            </w:r>
            <w:r w:rsidR="007E7303">
              <w:t xml:space="preserve">The bill authorizes </w:t>
            </w:r>
            <w:r w:rsidRPr="003D21B5">
              <w:t>TEA</w:t>
            </w:r>
            <w:r>
              <w:t xml:space="preserve"> </w:t>
            </w:r>
            <w:r w:rsidR="007E7303">
              <w:t>to contract with a regional education service center, a private entity,</w:t>
            </w:r>
            <w:r w:rsidR="0049146D">
              <w:t xml:space="preserve"> DIR,</w:t>
            </w:r>
            <w:r w:rsidR="007E7303">
              <w:t xml:space="preserve"> or a regional network security center in the Texas Computer Network Security System to implement the</w:t>
            </w:r>
            <w:r w:rsidR="002B4F2A">
              <w:t xml:space="preserve"> bill's</w:t>
            </w:r>
            <w:r w:rsidR="007E7303">
              <w:t xml:space="preserve"> provisions</w:t>
            </w:r>
            <w:r w:rsidR="002B4F2A">
              <w:t xml:space="preserve"> relating to cybersecurity controls and requirements</w:t>
            </w:r>
            <w:r w:rsidR="007E7303">
              <w:t>.</w:t>
            </w:r>
            <w:r w:rsidR="0065021F">
              <w:t xml:space="preserve"> </w:t>
            </w:r>
            <w:r>
              <w:t>The bill</w:t>
            </w:r>
            <w:r w:rsidR="0065021F">
              <w:t xml:space="preserve"> requires the commissioner to adopt rules as necessary to implement the</w:t>
            </w:r>
            <w:r>
              <w:t>se</w:t>
            </w:r>
            <w:r w:rsidR="00527293">
              <w:t xml:space="preserve"> provisions </w:t>
            </w:r>
            <w:r w:rsidR="0065021F">
              <w:t>and to r</w:t>
            </w:r>
            <w:r w:rsidR="0065021F" w:rsidRPr="0065021F">
              <w:t>eview</w:t>
            </w:r>
            <w:r w:rsidR="0065021F">
              <w:t xml:space="preserve"> </w:t>
            </w:r>
            <w:r w:rsidR="0065021F" w:rsidRPr="0065021F">
              <w:t>and amend the rules as necessary</w:t>
            </w:r>
            <w:r w:rsidR="00D27A60">
              <w:t xml:space="preserve"> n</w:t>
            </w:r>
            <w:r w:rsidR="00D27A60" w:rsidRPr="00D27A60">
              <w:t>ot later than September 1 of each even-numbered year</w:t>
            </w:r>
            <w:r w:rsidR="0065021F" w:rsidRPr="0065021F">
              <w:t xml:space="preserve"> to ensure that </w:t>
            </w:r>
            <w:r w:rsidR="00FB4A60">
              <w:t>those</w:t>
            </w:r>
            <w:r w:rsidR="0065021F" w:rsidRPr="0065021F">
              <w:t xml:space="preserve"> controls and requirements continue to provide effective cybersecurity protection for districts and charter schools.</w:t>
            </w:r>
            <w:r w:rsidR="00432BCA">
              <w:t xml:space="preserve"> </w:t>
            </w:r>
          </w:p>
          <w:p w14:paraId="235C0885" w14:textId="77777777" w:rsidR="00E75A53" w:rsidRDefault="00E75A53" w:rsidP="007E5D40">
            <w:pPr>
              <w:pStyle w:val="Header"/>
              <w:mirrorIndents/>
              <w:jc w:val="both"/>
            </w:pPr>
          </w:p>
          <w:p w14:paraId="1B8FE96B" w14:textId="63E70B61" w:rsidR="009C36CD" w:rsidRDefault="00C1395D" w:rsidP="007E5D40">
            <w:pPr>
              <w:pStyle w:val="Header"/>
              <w:mirrorIndents/>
              <w:jc w:val="both"/>
            </w:pPr>
            <w:r>
              <w:t xml:space="preserve">C.S.H.B. 4944 requires an independent school </w:t>
            </w:r>
            <w:r w:rsidR="006A124D">
              <w:t xml:space="preserve">district's </w:t>
            </w:r>
            <w:r>
              <w:t xml:space="preserve">cybersecurity policy to </w:t>
            </w:r>
            <w:r w:rsidRPr="00432BCA">
              <w:t xml:space="preserve">comply </w:t>
            </w:r>
            <w:r>
              <w:t xml:space="preserve">with </w:t>
            </w:r>
            <w:r w:rsidRPr="00432BCA">
              <w:t>the</w:t>
            </w:r>
            <w:r>
              <w:t xml:space="preserve"> </w:t>
            </w:r>
            <w:r w:rsidRPr="00432BCA">
              <w:t>control</w:t>
            </w:r>
            <w:r w:rsidRPr="00432BCA">
              <w:t>s and requirements</w:t>
            </w:r>
            <w:r>
              <w:t xml:space="preserve"> adopted by the commissioner under the bill's provisions. The bill repeals a provision that establishes that </w:t>
            </w:r>
            <w:r w:rsidRPr="001E5E37">
              <w:t xml:space="preserve">only </w:t>
            </w:r>
            <w:r>
              <w:t>an independent school</w:t>
            </w:r>
            <w:r w:rsidRPr="001E5E37">
              <w:t xml:space="preserve"> district's cybersecurity coordinator</w:t>
            </w:r>
            <w:r>
              <w:t xml:space="preserve"> is required</w:t>
            </w:r>
            <w:r w:rsidRPr="001E5E37">
              <w:t xml:space="preserve"> to complete</w:t>
            </w:r>
            <w:r>
              <w:t xml:space="preserve"> applicable</w:t>
            </w:r>
            <w:r w:rsidRPr="001E5E37">
              <w:t xml:space="preserve"> cybersecurity training on an annual basis</w:t>
            </w:r>
            <w:r>
              <w:t xml:space="preserve"> and requires a</w:t>
            </w:r>
            <w:r w:rsidRPr="001E5E37">
              <w:t xml:space="preserve">ny other district employee </w:t>
            </w:r>
            <w:r>
              <w:t>who must</w:t>
            </w:r>
            <w:r w:rsidRPr="001E5E37">
              <w:t xml:space="preserve"> complete the cybersecurity training </w:t>
            </w:r>
            <w:r>
              <w:t>to</w:t>
            </w:r>
            <w:r w:rsidRPr="001E5E37">
              <w:t xml:space="preserve"> complete the training as determined by the district, in consultation with the district's cybersecurity coordinator.</w:t>
            </w:r>
          </w:p>
          <w:p w14:paraId="2C19E94D" w14:textId="7917EBBD" w:rsidR="00FB4A60" w:rsidRDefault="00FB4A60" w:rsidP="007E5D40">
            <w:pPr>
              <w:pStyle w:val="Header"/>
              <w:mirrorIndents/>
              <w:jc w:val="both"/>
            </w:pPr>
          </w:p>
          <w:p w14:paraId="0E66115C" w14:textId="1F847B95" w:rsidR="00FB4A60" w:rsidRDefault="00C1395D" w:rsidP="007E5D40">
            <w:pPr>
              <w:pStyle w:val="Header"/>
              <w:mirrorIndents/>
              <w:jc w:val="both"/>
            </w:pPr>
            <w:r>
              <w:t>C.S.H.B</w:t>
            </w:r>
            <w:r>
              <w:t>. 4944 amends the Government Code to authorize DIR to provide technical assistance to districts and charter schools regarding the implementation of cybersecurity controls, requirements, and network operations</w:t>
            </w:r>
            <w:r w:rsidR="000942AE">
              <w:t xml:space="preserve"> as provided by the bill's provisions </w:t>
            </w:r>
            <w:r w:rsidR="0049714A">
              <w:t xml:space="preserve">and </w:t>
            </w:r>
            <w:r w:rsidR="00D27A60">
              <w:t xml:space="preserve">to </w:t>
            </w:r>
            <w:r w:rsidR="006F1883">
              <w:t>do the following i</w:t>
            </w:r>
            <w:r>
              <w:t xml:space="preserve">n providing </w:t>
            </w:r>
            <w:r w:rsidR="002B5ABD">
              <w:t xml:space="preserve">such </w:t>
            </w:r>
            <w:r>
              <w:t>assistance:</w:t>
            </w:r>
          </w:p>
          <w:p w14:paraId="3C145523" w14:textId="1F5CCC63" w:rsidR="00FB4A60" w:rsidRDefault="00C1395D" w:rsidP="007E5D40">
            <w:pPr>
              <w:pStyle w:val="Header"/>
              <w:numPr>
                <w:ilvl w:val="0"/>
                <w:numId w:val="1"/>
              </w:numPr>
              <w:mirrorIndents/>
              <w:jc w:val="both"/>
            </w:pPr>
            <w:r>
              <w:t>use services offered by third parties;</w:t>
            </w:r>
          </w:p>
          <w:p w14:paraId="3AD7046E" w14:textId="2648779B" w:rsidR="00FB4A60" w:rsidRDefault="00C1395D" w:rsidP="007E5D40">
            <w:pPr>
              <w:pStyle w:val="Header"/>
              <w:numPr>
                <w:ilvl w:val="0"/>
                <w:numId w:val="1"/>
              </w:numPr>
              <w:mirrorIndents/>
              <w:jc w:val="both"/>
            </w:pPr>
            <w:r>
              <w:t>procure technology and services for districts and schools;</w:t>
            </w:r>
          </w:p>
          <w:p w14:paraId="3B3A9A87" w14:textId="738F4DF2" w:rsidR="00FB4A60" w:rsidRDefault="00C1395D" w:rsidP="007E5D40">
            <w:pPr>
              <w:pStyle w:val="Header"/>
              <w:numPr>
                <w:ilvl w:val="0"/>
                <w:numId w:val="1"/>
              </w:numPr>
              <w:mirrorIndents/>
              <w:jc w:val="both"/>
            </w:pPr>
            <w:r>
              <w:t>recommend to the Legislative Budget Board that districts and charter schools migrate services to the State Data Ce</w:t>
            </w:r>
            <w:r>
              <w:t>nter located on the campus of Angelo State University; and</w:t>
            </w:r>
          </w:p>
          <w:p w14:paraId="25BB976A" w14:textId="5C5FE579" w:rsidR="00FB4A60" w:rsidRDefault="00C1395D" w:rsidP="007E5D40">
            <w:pPr>
              <w:pStyle w:val="Header"/>
              <w:numPr>
                <w:ilvl w:val="0"/>
                <w:numId w:val="1"/>
              </w:numPr>
              <w:mirrorIndents/>
              <w:jc w:val="both"/>
            </w:pPr>
            <w:r>
              <w:t xml:space="preserve">use the services of a regional network security center established </w:t>
            </w:r>
            <w:r w:rsidR="0049714A">
              <w:t>by DIR</w:t>
            </w:r>
            <w:r>
              <w:t>.</w:t>
            </w:r>
          </w:p>
          <w:p w14:paraId="2930DA39" w14:textId="3885C4D8" w:rsidR="000942AE" w:rsidRDefault="00C1395D" w:rsidP="007E5D40">
            <w:pPr>
              <w:pStyle w:val="Header"/>
              <w:mirrorIndents/>
              <w:jc w:val="both"/>
            </w:pPr>
            <w:r>
              <w:t>The bill authorizes DIR to adopt rules as necessary to implement these provisions.</w:t>
            </w:r>
          </w:p>
          <w:p w14:paraId="10DC549A" w14:textId="6FA660C6" w:rsidR="00B07286" w:rsidRDefault="00B07286" w:rsidP="007E5D40">
            <w:pPr>
              <w:pStyle w:val="Header"/>
              <w:mirrorIndents/>
              <w:jc w:val="both"/>
            </w:pPr>
          </w:p>
          <w:p w14:paraId="7380687B" w14:textId="7EDD5168" w:rsidR="003D21B5" w:rsidRDefault="00C1395D" w:rsidP="007E5D40">
            <w:pPr>
              <w:pStyle w:val="Header"/>
              <w:mirrorIndents/>
              <w:jc w:val="both"/>
            </w:pPr>
            <w:r>
              <w:t>C.S.</w:t>
            </w:r>
            <w:r w:rsidR="00B07286">
              <w:t>H.B. 4</w:t>
            </w:r>
            <w:r w:rsidR="005B181A">
              <w:t>9</w:t>
            </w:r>
            <w:r w:rsidR="00B07286">
              <w:t xml:space="preserve">44 authorizes DIR to perform a cybersecurity risk assessment of a district or charter school at the request of </w:t>
            </w:r>
            <w:r>
              <w:t xml:space="preserve">any of the following persons or entities: </w:t>
            </w:r>
          </w:p>
          <w:p w14:paraId="5367A460" w14:textId="26397839" w:rsidR="003D21B5" w:rsidRDefault="00C1395D" w:rsidP="007E5D40">
            <w:pPr>
              <w:pStyle w:val="Header"/>
              <w:numPr>
                <w:ilvl w:val="0"/>
                <w:numId w:val="3"/>
              </w:numPr>
              <w:mirrorIndents/>
              <w:jc w:val="both"/>
            </w:pPr>
            <w:r>
              <w:t>the</w:t>
            </w:r>
            <w:r w:rsidR="001D0C0E">
              <w:t xml:space="preserve"> </w:t>
            </w:r>
            <w:r>
              <w:t>commissioner;</w:t>
            </w:r>
          </w:p>
          <w:p w14:paraId="3FD120DE" w14:textId="1D052BE2" w:rsidR="003D21B5" w:rsidRDefault="00C1395D" w:rsidP="007E5D40">
            <w:pPr>
              <w:pStyle w:val="Header"/>
              <w:numPr>
                <w:ilvl w:val="0"/>
                <w:numId w:val="3"/>
              </w:numPr>
              <w:mirrorIndents/>
              <w:jc w:val="both"/>
            </w:pPr>
            <w:r>
              <w:t xml:space="preserve">the </w:t>
            </w:r>
            <w:r w:rsidR="00C7676A">
              <w:t xml:space="preserve">district </w:t>
            </w:r>
            <w:r>
              <w:t xml:space="preserve">superintendent or the person who serves the function of superintendent </w:t>
            </w:r>
            <w:r>
              <w:t xml:space="preserve">of the school, as applicable; </w:t>
            </w:r>
          </w:p>
          <w:p w14:paraId="64C1C98A" w14:textId="13F408D8" w:rsidR="00C7676A" w:rsidRDefault="00C1395D" w:rsidP="007E5D40">
            <w:pPr>
              <w:pStyle w:val="Header"/>
              <w:numPr>
                <w:ilvl w:val="0"/>
                <w:numId w:val="3"/>
              </w:numPr>
              <w:mirrorIndents/>
              <w:jc w:val="both"/>
            </w:pPr>
            <w:r>
              <w:t xml:space="preserve">the board of trustees of </w:t>
            </w:r>
            <w:r w:rsidR="003D21B5">
              <w:t>the</w:t>
            </w:r>
            <w:r>
              <w:t xml:space="preserve"> district or governing body of a school</w:t>
            </w:r>
            <w:r w:rsidR="003D21B5">
              <w:t>;</w:t>
            </w:r>
            <w:r>
              <w:t xml:space="preserve"> or </w:t>
            </w:r>
          </w:p>
          <w:p w14:paraId="5CDB7B0C" w14:textId="3F56171F" w:rsidR="00B07286" w:rsidRDefault="00C1395D" w:rsidP="007E5D40">
            <w:pPr>
              <w:pStyle w:val="Header"/>
              <w:numPr>
                <w:ilvl w:val="0"/>
                <w:numId w:val="3"/>
              </w:numPr>
              <w:mirrorIndents/>
              <w:jc w:val="both"/>
            </w:pPr>
            <w:r>
              <w:t>the state cybersecurity coordinator after a cybersecurity incident affecting the district or school.</w:t>
            </w:r>
          </w:p>
          <w:p w14:paraId="6F73A320" w14:textId="4245E2FC" w:rsidR="00B07286" w:rsidRDefault="00B07286" w:rsidP="007E5D40">
            <w:pPr>
              <w:pStyle w:val="Header"/>
              <w:mirrorIndents/>
              <w:jc w:val="both"/>
            </w:pPr>
          </w:p>
          <w:p w14:paraId="0E21BEBB" w14:textId="2771387F" w:rsidR="00B07286" w:rsidRDefault="00C1395D" w:rsidP="007E5D40">
            <w:pPr>
              <w:pStyle w:val="Header"/>
              <w:mirrorIndents/>
              <w:jc w:val="both"/>
            </w:pPr>
            <w:r>
              <w:t>C.S.H.B. 4944 includes a charter school</w:t>
            </w:r>
            <w:r w:rsidR="001D0C0E">
              <w:t xml:space="preserve"> and a regional education service center</w:t>
            </w:r>
            <w:r>
              <w:t xml:space="preserve"> among the entities </w:t>
            </w:r>
            <w:r w:rsidR="00C55498">
              <w:t xml:space="preserve">to which </w:t>
            </w:r>
            <w:r>
              <w:t>DIR by agreement may provide network security</w:t>
            </w:r>
            <w:r w:rsidR="00C55498">
              <w:t xml:space="preserve"> and</w:t>
            </w:r>
            <w:r w:rsidR="00B43ED1">
              <w:t xml:space="preserve"> makes </w:t>
            </w:r>
            <w:r w:rsidR="00C55498">
              <w:t>such entities</w:t>
            </w:r>
            <w:r w:rsidR="005B181A">
              <w:t xml:space="preserve"> eligible</w:t>
            </w:r>
            <w:r w:rsidR="00C55498">
              <w:t xml:space="preserve"> </w:t>
            </w:r>
            <w:r w:rsidR="00B43ED1" w:rsidRPr="00B43ED1">
              <w:t>to participate in cybersecurity support and network security provided by a</w:t>
            </w:r>
            <w:r w:rsidR="001E5E37">
              <w:t xml:space="preserve"> </w:t>
            </w:r>
            <w:r w:rsidR="00B43ED1" w:rsidRPr="00B43ED1">
              <w:t>regional network security center</w:t>
            </w:r>
            <w:r w:rsidR="00222636">
              <w:t xml:space="preserve"> established by DIR</w:t>
            </w:r>
            <w:r w:rsidR="00B43ED1">
              <w:t xml:space="preserve">. </w:t>
            </w:r>
          </w:p>
          <w:p w14:paraId="3D9118C8" w14:textId="027096CA" w:rsidR="00E710DA" w:rsidRDefault="00E710DA" w:rsidP="007E5D40">
            <w:pPr>
              <w:pStyle w:val="Header"/>
              <w:mirrorIndents/>
              <w:jc w:val="both"/>
            </w:pPr>
          </w:p>
          <w:p w14:paraId="3455669A" w14:textId="76F9EDA7" w:rsidR="00E710DA" w:rsidRDefault="00C1395D" w:rsidP="007E5D40">
            <w:pPr>
              <w:pStyle w:val="Header"/>
              <w:mirrorIndents/>
              <w:jc w:val="both"/>
            </w:pPr>
            <w:r>
              <w:t>C.S.H.B. 4944 requires TEA and DIR to adopt rules necessary to implement the bill's changes not later than March 31, 2024.</w:t>
            </w:r>
          </w:p>
          <w:p w14:paraId="75D20252" w14:textId="14B00CB0" w:rsidR="001E5E37" w:rsidRDefault="001E5E37" w:rsidP="007E5D40">
            <w:pPr>
              <w:pStyle w:val="Header"/>
              <w:mirrorIndents/>
              <w:jc w:val="both"/>
            </w:pPr>
          </w:p>
          <w:p w14:paraId="6AB10D5A" w14:textId="3ACDA1D8" w:rsidR="00EE56FA" w:rsidRPr="009C36CD" w:rsidRDefault="00C1395D" w:rsidP="007E5D40">
            <w:pPr>
              <w:pStyle w:val="Header"/>
              <w:mirrorIndents/>
              <w:jc w:val="both"/>
            </w:pPr>
            <w:r>
              <w:t>C.S.</w:t>
            </w:r>
            <w:r w:rsidR="001E5E37">
              <w:t>H.B. 4944 repeals</w:t>
            </w:r>
            <w:r w:rsidR="00C561CB">
              <w:t xml:space="preserve"> </w:t>
            </w:r>
            <w:r w:rsidR="00C561CB" w:rsidRPr="00C561CB">
              <w:t>Section 11.175(g), Education Code</w:t>
            </w:r>
            <w:r w:rsidR="001E5E37">
              <w:t>,</w:t>
            </w:r>
            <w:r w:rsidR="00C561CB">
              <w:t xml:space="preserve"> </w:t>
            </w:r>
            <w:r w:rsidR="0092546C" w:rsidRPr="0092546C">
              <w:t>as added by Chapter 1045 (S.B. 1267), Acts of the 87th Legislature, Regular Session, 2021</w:t>
            </w:r>
            <w:r w:rsidR="00E75A53">
              <w:t>.</w:t>
            </w:r>
            <w:r w:rsidR="0092546C" w:rsidRPr="0092546C">
              <w:t xml:space="preserve"> </w:t>
            </w:r>
          </w:p>
          <w:p w14:paraId="7AFA6B4F" w14:textId="77777777" w:rsidR="008423E4" w:rsidRPr="00835628" w:rsidRDefault="008423E4" w:rsidP="007E5D40">
            <w:pPr>
              <w:mirrorIndents/>
              <w:rPr>
                <w:b/>
              </w:rPr>
            </w:pPr>
          </w:p>
        </w:tc>
      </w:tr>
      <w:tr w:rsidR="001A4EF9" w14:paraId="185695CC" w14:textId="77777777" w:rsidTr="00345119">
        <w:tc>
          <w:tcPr>
            <w:tcW w:w="9576" w:type="dxa"/>
          </w:tcPr>
          <w:p w14:paraId="6745B449" w14:textId="77777777" w:rsidR="008423E4" w:rsidRPr="00A8133F" w:rsidRDefault="00C1395D" w:rsidP="007E5D40">
            <w:pPr>
              <w:mirrorIndents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223540" w14:textId="77777777" w:rsidR="008423E4" w:rsidRDefault="008423E4" w:rsidP="007E5D40">
            <w:pPr>
              <w:mirrorIndents/>
            </w:pPr>
          </w:p>
          <w:p w14:paraId="5361C532" w14:textId="104669D9" w:rsidR="008423E4" w:rsidRPr="003624F2" w:rsidRDefault="00C1395D" w:rsidP="007E5D40">
            <w:pPr>
              <w:pStyle w:val="Header"/>
              <w:tabs>
                <w:tab w:val="clear" w:pos="4320"/>
                <w:tab w:val="clear" w:pos="8640"/>
              </w:tabs>
              <w:mirrorIndents/>
              <w:jc w:val="both"/>
            </w:pPr>
            <w:r w:rsidRPr="00EE56FA">
              <w:t>September 1, 2023.</w:t>
            </w:r>
          </w:p>
          <w:p w14:paraId="68D6ED32" w14:textId="77777777" w:rsidR="008423E4" w:rsidRPr="00233FDB" w:rsidRDefault="008423E4" w:rsidP="007E5D40">
            <w:pPr>
              <w:mirrorIndents/>
              <w:rPr>
                <w:b/>
              </w:rPr>
            </w:pPr>
          </w:p>
        </w:tc>
      </w:tr>
      <w:tr w:rsidR="001A4EF9" w14:paraId="20C69B88" w14:textId="77777777" w:rsidTr="00345119">
        <w:tc>
          <w:tcPr>
            <w:tcW w:w="9576" w:type="dxa"/>
          </w:tcPr>
          <w:p w14:paraId="68F08F3F" w14:textId="77777777" w:rsidR="00214965" w:rsidRDefault="00C1395D" w:rsidP="007E5D40">
            <w:pPr>
              <w:mirrorIndents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B4A581B" w14:textId="77777777" w:rsidR="008D626F" w:rsidRDefault="008D626F" w:rsidP="007E5D40">
            <w:pPr>
              <w:mirrorIndents/>
              <w:jc w:val="both"/>
            </w:pPr>
          </w:p>
          <w:p w14:paraId="67ACDCDC" w14:textId="164AFF5C" w:rsidR="008D626F" w:rsidRDefault="00C1395D" w:rsidP="007E5D40">
            <w:pPr>
              <w:mirrorIndents/>
              <w:jc w:val="both"/>
            </w:pPr>
            <w:r>
              <w:t xml:space="preserve">While C.S.H.B. </w:t>
            </w:r>
            <w:r w:rsidR="00C7676A">
              <w:t>4944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429A5603" w14:textId="35E298A5" w:rsidR="008D626F" w:rsidRDefault="008D626F" w:rsidP="007E5D40">
            <w:pPr>
              <w:mirrorIndents/>
              <w:jc w:val="both"/>
            </w:pPr>
          </w:p>
          <w:p w14:paraId="5106B1EE" w14:textId="001099C6" w:rsidR="008D626F" w:rsidRDefault="00C1395D" w:rsidP="007E5D40">
            <w:pPr>
              <w:mirrorIndents/>
              <w:jc w:val="both"/>
            </w:pPr>
            <w:r>
              <w:t xml:space="preserve">The substitute includes a </w:t>
            </w:r>
            <w:r w:rsidR="0018414D">
              <w:t xml:space="preserve">provision </w:t>
            </w:r>
            <w:r>
              <w:t xml:space="preserve">absent from the introduced </w:t>
            </w:r>
            <w:r w:rsidR="00A436BF">
              <w:t>requiring</w:t>
            </w:r>
            <w:r w:rsidR="0018414D">
              <w:t xml:space="preserve"> </w:t>
            </w:r>
            <w:r w:rsidR="00091EAD">
              <w:t>TEA, a district, or a charter school to</w:t>
            </w:r>
            <w:r>
              <w:t xml:space="preserve"> protect</w:t>
            </w:r>
            <w:r w:rsidR="00091EAD">
              <w:t xml:space="preserve"> the privacy of</w:t>
            </w:r>
            <w:r>
              <w:t xml:space="preserve"> student education record</w:t>
            </w:r>
            <w:r w:rsidR="00A436BF">
              <w:t>s</w:t>
            </w:r>
            <w:r>
              <w:t xml:space="preserve"> in a manner that is at least as stringent as that provided under the </w:t>
            </w:r>
            <w:r w:rsidR="0018414D">
              <w:t xml:space="preserve">federal </w:t>
            </w:r>
            <w:r>
              <w:t xml:space="preserve">Family Educational Rights and Privacy Act of 1974. </w:t>
            </w:r>
          </w:p>
          <w:p w14:paraId="79492A73" w14:textId="06EE6D6D" w:rsidR="007F5FB4" w:rsidRDefault="007F5FB4" w:rsidP="007E5D40">
            <w:pPr>
              <w:mirrorIndents/>
              <w:jc w:val="both"/>
            </w:pPr>
          </w:p>
          <w:p w14:paraId="03E89497" w14:textId="7C3F8BC4" w:rsidR="007F5FB4" w:rsidRDefault="00C1395D" w:rsidP="007E5D40">
            <w:pPr>
              <w:mirrorIndents/>
              <w:jc w:val="both"/>
            </w:pPr>
            <w:r>
              <w:t xml:space="preserve">While both the introduced and </w:t>
            </w:r>
            <w:r w:rsidR="00091EAD">
              <w:t>t</w:t>
            </w:r>
            <w:r w:rsidR="001873F0">
              <w:t xml:space="preserve">he substitute </w:t>
            </w:r>
            <w:r w:rsidR="00091EAD">
              <w:t>authorize</w:t>
            </w:r>
            <w:r w:rsidR="001873F0">
              <w:t xml:space="preserve"> TEA </w:t>
            </w:r>
            <w:r w:rsidR="00091EAD">
              <w:t>to</w:t>
            </w:r>
            <w:r>
              <w:t xml:space="preserve"> </w:t>
            </w:r>
            <w:r w:rsidR="001873F0">
              <w:t xml:space="preserve">contract </w:t>
            </w:r>
            <w:r w:rsidR="00091EAD">
              <w:t xml:space="preserve">with certain entities </w:t>
            </w:r>
            <w:r w:rsidR="001873F0">
              <w:t xml:space="preserve">to implement the bill's </w:t>
            </w:r>
            <w:r>
              <w:t xml:space="preserve">provisions relating to </w:t>
            </w:r>
            <w:r w:rsidR="00A436BF">
              <w:t xml:space="preserve">cybersecurity controls and requirements, </w:t>
            </w:r>
            <w:r>
              <w:t xml:space="preserve">the </w:t>
            </w:r>
            <w:r w:rsidR="00091EAD">
              <w:t xml:space="preserve">substitute includes DIR among those entities, but the </w:t>
            </w:r>
            <w:r>
              <w:t>introduced did not</w:t>
            </w:r>
            <w:r w:rsidR="001873F0">
              <w:t>.</w:t>
            </w:r>
          </w:p>
          <w:p w14:paraId="7CD68838" w14:textId="4D34CC05" w:rsidR="003253FA" w:rsidRDefault="003253FA" w:rsidP="007E5D40">
            <w:pPr>
              <w:mirrorIndents/>
              <w:jc w:val="both"/>
            </w:pPr>
          </w:p>
          <w:p w14:paraId="7D83C96F" w14:textId="718EDF43" w:rsidR="003253FA" w:rsidRDefault="00C1395D" w:rsidP="007E5D40">
            <w:pPr>
              <w:mirrorIndents/>
              <w:jc w:val="both"/>
            </w:pPr>
            <w:r>
              <w:t xml:space="preserve">Whereas the </w:t>
            </w:r>
            <w:r w:rsidR="00322F77">
              <w:t>introduced authorized</w:t>
            </w:r>
            <w:r>
              <w:t xml:space="preserve"> </w:t>
            </w:r>
            <w:r w:rsidR="005D23A1">
              <w:t xml:space="preserve">the Texas Division of Emergency Management </w:t>
            </w:r>
            <w:r w:rsidR="003A24D9">
              <w:t>to request DIR to perform a cybersecurity risk assessment</w:t>
            </w:r>
            <w:r>
              <w:t xml:space="preserve"> after a cybersecurity incident affecting the district or charter school</w:t>
            </w:r>
            <w:r w:rsidR="003A24D9">
              <w:t>,</w:t>
            </w:r>
            <w:r w:rsidR="00945D60">
              <w:t xml:space="preserve"> </w:t>
            </w:r>
            <w:r w:rsidR="003A24D9">
              <w:t xml:space="preserve">the substitute authorizes </w:t>
            </w:r>
            <w:r w:rsidR="00322F77">
              <w:t xml:space="preserve">the state cybersecurity coordinator instead to request such an assessment from DIR after </w:t>
            </w:r>
            <w:r w:rsidR="003A24D9">
              <w:t xml:space="preserve">such </w:t>
            </w:r>
            <w:r w:rsidR="00973F0F">
              <w:t>an</w:t>
            </w:r>
            <w:r w:rsidR="00322F77">
              <w:t xml:space="preserve"> incident. The substitute</w:t>
            </w:r>
            <w:r w:rsidR="00676B9A">
              <w:t xml:space="preserve"> </w:t>
            </w:r>
            <w:r w:rsidR="0094017D">
              <w:t>also</w:t>
            </w:r>
            <w:r w:rsidR="00676B9A">
              <w:t xml:space="preserve"> </w:t>
            </w:r>
            <w:r>
              <w:t>includes</w:t>
            </w:r>
            <w:r w:rsidR="00676B9A">
              <w:t xml:space="preserve"> </w:t>
            </w:r>
            <w:r w:rsidR="003A24D9">
              <w:t>a</w:t>
            </w:r>
            <w:r w:rsidR="003A24D9" w:rsidRPr="00322F77">
              <w:t xml:space="preserve"> </w:t>
            </w:r>
            <w:r w:rsidR="00945D60">
              <w:t xml:space="preserve">district's </w:t>
            </w:r>
            <w:r w:rsidR="00322F77" w:rsidRPr="00322F77">
              <w:t>board of trustees</w:t>
            </w:r>
            <w:r w:rsidR="003A24D9">
              <w:t xml:space="preserve"> </w:t>
            </w:r>
            <w:r w:rsidR="0094017D">
              <w:t>and</w:t>
            </w:r>
            <w:r w:rsidR="00322F77" w:rsidRPr="00322F77">
              <w:t xml:space="preserve"> the governing body of </w:t>
            </w:r>
            <w:r w:rsidR="00322F77">
              <w:t>a</w:t>
            </w:r>
            <w:r w:rsidR="00945D60">
              <w:t xml:space="preserve"> charter</w:t>
            </w:r>
            <w:r w:rsidR="00322F77" w:rsidRPr="00322F77">
              <w:t xml:space="preserve"> school</w:t>
            </w:r>
            <w:r w:rsidR="00322F77">
              <w:t xml:space="preserve"> </w:t>
            </w:r>
            <w:r w:rsidR="00945D60">
              <w:t xml:space="preserve">among the entities who may </w:t>
            </w:r>
            <w:r w:rsidR="00322F77">
              <w:t xml:space="preserve">request </w:t>
            </w:r>
            <w:r w:rsidR="003A24D9">
              <w:t xml:space="preserve">DIR to perform </w:t>
            </w:r>
            <w:r w:rsidR="00676B9A">
              <w:t xml:space="preserve">such </w:t>
            </w:r>
            <w:r w:rsidR="00322F77">
              <w:t>a</w:t>
            </w:r>
            <w:r w:rsidR="00973F0F">
              <w:t xml:space="preserve"> </w:t>
            </w:r>
            <w:r w:rsidR="00322F77">
              <w:t>risk assessment</w:t>
            </w:r>
            <w:r w:rsidR="003A24D9">
              <w:t>, whereas the introduced did not include those entities</w:t>
            </w:r>
            <w:r w:rsidR="0094017D">
              <w:t xml:space="preserve"> in that authorization</w:t>
            </w:r>
            <w:r w:rsidR="00676B9A">
              <w:t xml:space="preserve">. </w:t>
            </w:r>
          </w:p>
          <w:p w14:paraId="3AA5BD34" w14:textId="03583C0D" w:rsidR="001873F0" w:rsidRDefault="001873F0" w:rsidP="007E5D40">
            <w:pPr>
              <w:mirrorIndents/>
              <w:jc w:val="both"/>
            </w:pPr>
          </w:p>
          <w:p w14:paraId="6B046F20" w14:textId="6361D884" w:rsidR="001873F0" w:rsidRDefault="00C1395D" w:rsidP="007E5D40">
            <w:pPr>
              <w:mirrorIndents/>
              <w:jc w:val="both"/>
            </w:pPr>
            <w:r>
              <w:t>While both the introduced and substitute include</w:t>
            </w:r>
            <w:r w:rsidR="008E4B9F">
              <w:t xml:space="preserve"> a charter school among the entities </w:t>
            </w:r>
            <w:r w:rsidR="005C1794">
              <w:t>to</w:t>
            </w:r>
            <w:r w:rsidR="008E4B9F">
              <w:t xml:space="preserve"> which DIR may provide network security, the </w:t>
            </w:r>
            <w:r w:rsidR="009577FE">
              <w:t xml:space="preserve">substitute </w:t>
            </w:r>
            <w:r w:rsidR="005C1794">
              <w:t>also</w:t>
            </w:r>
            <w:r w:rsidR="008E4B9F">
              <w:t xml:space="preserve"> includes a regional education service center among </w:t>
            </w:r>
            <w:r w:rsidR="0094017D">
              <w:t>those</w:t>
            </w:r>
            <w:r w:rsidR="005C1794">
              <w:t xml:space="preserve"> </w:t>
            </w:r>
            <w:r w:rsidR="008E4B9F">
              <w:t xml:space="preserve">entities. </w:t>
            </w:r>
          </w:p>
          <w:p w14:paraId="12596032" w14:textId="09CC2640" w:rsidR="00676B9A" w:rsidRDefault="00676B9A" w:rsidP="007E5D40">
            <w:pPr>
              <w:mirrorIndents/>
              <w:jc w:val="both"/>
            </w:pPr>
          </w:p>
          <w:p w14:paraId="77E40EAF" w14:textId="77777777" w:rsidR="00676B9A" w:rsidRDefault="00676B9A" w:rsidP="007E5D40">
            <w:pPr>
              <w:mirrorIndents/>
              <w:jc w:val="both"/>
            </w:pPr>
          </w:p>
          <w:p w14:paraId="160E0C67" w14:textId="33FE95D3" w:rsidR="00322F77" w:rsidRDefault="00322F77" w:rsidP="007E5D40">
            <w:pPr>
              <w:mirrorIndents/>
              <w:jc w:val="both"/>
            </w:pPr>
          </w:p>
          <w:p w14:paraId="48C6814A" w14:textId="77777777" w:rsidR="00322F77" w:rsidRDefault="00322F77" w:rsidP="007E5D40">
            <w:pPr>
              <w:mirrorIndents/>
              <w:jc w:val="both"/>
            </w:pPr>
          </w:p>
          <w:p w14:paraId="474C50D4" w14:textId="55C59F58" w:rsidR="007F5FB4" w:rsidRDefault="007F5FB4" w:rsidP="007E5D40">
            <w:pPr>
              <w:mirrorIndents/>
              <w:jc w:val="both"/>
            </w:pPr>
          </w:p>
          <w:p w14:paraId="197ED401" w14:textId="77777777" w:rsidR="007F5FB4" w:rsidRDefault="007F5FB4" w:rsidP="007E5D40">
            <w:pPr>
              <w:mirrorIndents/>
              <w:jc w:val="both"/>
            </w:pPr>
          </w:p>
          <w:p w14:paraId="221F2B23" w14:textId="6DA1C2DB" w:rsidR="008D626F" w:rsidRPr="008D626F" w:rsidRDefault="008D626F" w:rsidP="007E5D40">
            <w:pPr>
              <w:mirrorIndents/>
              <w:jc w:val="both"/>
            </w:pPr>
          </w:p>
        </w:tc>
      </w:tr>
      <w:tr w:rsidR="001A4EF9" w14:paraId="5A02959D" w14:textId="77777777" w:rsidTr="00345119">
        <w:tc>
          <w:tcPr>
            <w:tcW w:w="9576" w:type="dxa"/>
          </w:tcPr>
          <w:p w14:paraId="6571CE42" w14:textId="77777777" w:rsidR="00214965" w:rsidRPr="009C1E9A" w:rsidRDefault="00214965" w:rsidP="007E5D40">
            <w:pPr>
              <w:mirrorIndents/>
              <w:rPr>
                <w:b/>
                <w:u w:val="single"/>
              </w:rPr>
            </w:pPr>
          </w:p>
        </w:tc>
      </w:tr>
      <w:tr w:rsidR="001A4EF9" w14:paraId="0C1FEB8D" w14:textId="77777777" w:rsidTr="00345119">
        <w:tc>
          <w:tcPr>
            <w:tcW w:w="9576" w:type="dxa"/>
          </w:tcPr>
          <w:p w14:paraId="1D84D65A" w14:textId="77777777" w:rsidR="00214965" w:rsidRPr="00214965" w:rsidRDefault="00214965" w:rsidP="007E5D40">
            <w:pPr>
              <w:mirrorIndents/>
              <w:jc w:val="both"/>
            </w:pPr>
          </w:p>
        </w:tc>
      </w:tr>
    </w:tbl>
    <w:p w14:paraId="4CBD6589" w14:textId="77777777" w:rsidR="008423E4" w:rsidRPr="00BE0E75" w:rsidRDefault="008423E4" w:rsidP="007E5D40">
      <w:pPr>
        <w:mirrorIndents/>
        <w:jc w:val="both"/>
        <w:rPr>
          <w:rFonts w:ascii="Arial" w:hAnsi="Arial"/>
          <w:sz w:val="16"/>
          <w:szCs w:val="16"/>
        </w:rPr>
      </w:pPr>
    </w:p>
    <w:p w14:paraId="18ED1BFA" w14:textId="77777777" w:rsidR="004108C3" w:rsidRPr="008423E4" w:rsidRDefault="004108C3" w:rsidP="007E5D40">
      <w:pPr>
        <w:mirrorIndents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1B89" w14:textId="77777777" w:rsidR="00000000" w:rsidRDefault="00C1395D">
      <w:r>
        <w:separator/>
      </w:r>
    </w:p>
  </w:endnote>
  <w:endnote w:type="continuationSeparator" w:id="0">
    <w:p w14:paraId="71F885B4" w14:textId="77777777" w:rsidR="00000000" w:rsidRDefault="00C1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463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4EF9" w14:paraId="065E91C2" w14:textId="77777777" w:rsidTr="009C1E9A">
      <w:trPr>
        <w:cantSplit/>
      </w:trPr>
      <w:tc>
        <w:tcPr>
          <w:tcW w:w="0" w:type="pct"/>
        </w:tcPr>
        <w:p w14:paraId="605C73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B598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A75E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DBA1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C8C5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4EF9" w14:paraId="3770CD35" w14:textId="77777777" w:rsidTr="009C1E9A">
      <w:trPr>
        <w:cantSplit/>
      </w:trPr>
      <w:tc>
        <w:tcPr>
          <w:tcW w:w="0" w:type="pct"/>
        </w:tcPr>
        <w:p w14:paraId="750A85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BD2BB9" w14:textId="56BCED70" w:rsidR="00EC379B" w:rsidRPr="009C1E9A" w:rsidRDefault="00C139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27406-D</w:t>
          </w:r>
        </w:p>
      </w:tc>
      <w:tc>
        <w:tcPr>
          <w:tcW w:w="2453" w:type="pct"/>
        </w:tcPr>
        <w:p w14:paraId="07432F0D" w14:textId="1F65E27F" w:rsidR="00EC379B" w:rsidRDefault="00C139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E5D40">
            <w:t>23.121.1331</w:t>
          </w:r>
          <w:r>
            <w:fldChar w:fldCharType="end"/>
          </w:r>
        </w:p>
      </w:tc>
    </w:tr>
    <w:tr w:rsidR="001A4EF9" w14:paraId="4F0AA563" w14:textId="77777777" w:rsidTr="009C1E9A">
      <w:trPr>
        <w:cantSplit/>
      </w:trPr>
      <w:tc>
        <w:tcPr>
          <w:tcW w:w="0" w:type="pct"/>
        </w:tcPr>
        <w:p w14:paraId="7D7D28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8E0DB9" w14:textId="578942CF" w:rsidR="00EC379B" w:rsidRPr="009C1E9A" w:rsidRDefault="00C1395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18451</w:t>
          </w:r>
        </w:p>
      </w:tc>
      <w:tc>
        <w:tcPr>
          <w:tcW w:w="2453" w:type="pct"/>
        </w:tcPr>
        <w:p w14:paraId="75B157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7FA5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4EF9" w14:paraId="676991E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77B735" w14:textId="77777777" w:rsidR="00EC379B" w:rsidRDefault="00C139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BC49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0FFC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C82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542" w14:textId="77777777" w:rsidR="00000000" w:rsidRDefault="00C1395D">
      <w:r>
        <w:separator/>
      </w:r>
    </w:p>
  </w:footnote>
  <w:footnote w:type="continuationSeparator" w:id="0">
    <w:p w14:paraId="7A9951CA" w14:textId="77777777" w:rsidR="00000000" w:rsidRDefault="00C1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769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B4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40B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06F"/>
    <w:multiLevelType w:val="hybridMultilevel"/>
    <w:tmpl w:val="C0EA7A36"/>
    <w:lvl w:ilvl="0" w:tplc="EE527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EC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8E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EF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00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3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44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60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CA1"/>
    <w:multiLevelType w:val="hybridMultilevel"/>
    <w:tmpl w:val="39A60A9A"/>
    <w:lvl w:ilvl="0" w:tplc="704A2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84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E3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B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7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2F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3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7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A2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462A"/>
    <w:multiLevelType w:val="hybridMultilevel"/>
    <w:tmpl w:val="2BAE0EE8"/>
    <w:lvl w:ilvl="0" w:tplc="F44A62B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9140FBA" w:tentative="1">
      <w:start w:val="1"/>
      <w:numFmt w:val="lowerLetter"/>
      <w:lvlText w:val="%2."/>
      <w:lvlJc w:val="left"/>
      <w:pPr>
        <w:ind w:left="1440" w:hanging="360"/>
      </w:pPr>
    </w:lvl>
    <w:lvl w:ilvl="2" w:tplc="CC3A822C" w:tentative="1">
      <w:start w:val="1"/>
      <w:numFmt w:val="lowerRoman"/>
      <w:lvlText w:val="%3."/>
      <w:lvlJc w:val="right"/>
      <w:pPr>
        <w:ind w:left="2160" w:hanging="180"/>
      </w:pPr>
    </w:lvl>
    <w:lvl w:ilvl="3" w:tplc="34261612" w:tentative="1">
      <w:start w:val="1"/>
      <w:numFmt w:val="decimal"/>
      <w:lvlText w:val="%4."/>
      <w:lvlJc w:val="left"/>
      <w:pPr>
        <w:ind w:left="2880" w:hanging="360"/>
      </w:pPr>
    </w:lvl>
    <w:lvl w:ilvl="4" w:tplc="133416EE" w:tentative="1">
      <w:start w:val="1"/>
      <w:numFmt w:val="lowerLetter"/>
      <w:lvlText w:val="%5."/>
      <w:lvlJc w:val="left"/>
      <w:pPr>
        <w:ind w:left="3600" w:hanging="360"/>
      </w:pPr>
    </w:lvl>
    <w:lvl w:ilvl="5" w:tplc="035C46DE" w:tentative="1">
      <w:start w:val="1"/>
      <w:numFmt w:val="lowerRoman"/>
      <w:lvlText w:val="%6."/>
      <w:lvlJc w:val="right"/>
      <w:pPr>
        <w:ind w:left="4320" w:hanging="180"/>
      </w:pPr>
    </w:lvl>
    <w:lvl w:ilvl="6" w:tplc="28FCD4CA" w:tentative="1">
      <w:start w:val="1"/>
      <w:numFmt w:val="decimal"/>
      <w:lvlText w:val="%7."/>
      <w:lvlJc w:val="left"/>
      <w:pPr>
        <w:ind w:left="5040" w:hanging="360"/>
      </w:pPr>
    </w:lvl>
    <w:lvl w:ilvl="7" w:tplc="DB748744" w:tentative="1">
      <w:start w:val="1"/>
      <w:numFmt w:val="lowerLetter"/>
      <w:lvlText w:val="%8."/>
      <w:lvlJc w:val="left"/>
      <w:pPr>
        <w:ind w:left="5760" w:hanging="360"/>
      </w:pPr>
    </w:lvl>
    <w:lvl w:ilvl="8" w:tplc="DE087F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147">
    <w:abstractNumId w:val="1"/>
  </w:num>
  <w:num w:numId="2" w16cid:durableId="1464620308">
    <w:abstractNumId w:val="2"/>
  </w:num>
  <w:num w:numId="3" w16cid:durableId="15787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DDC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FE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99C"/>
    <w:rsid w:val="00076D7D"/>
    <w:rsid w:val="00080D95"/>
    <w:rsid w:val="00090E6B"/>
    <w:rsid w:val="00091B2C"/>
    <w:rsid w:val="00091EAD"/>
    <w:rsid w:val="00092ABC"/>
    <w:rsid w:val="000942A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2C8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14D"/>
    <w:rsid w:val="0018478F"/>
    <w:rsid w:val="00184B03"/>
    <w:rsid w:val="00185C59"/>
    <w:rsid w:val="001873F0"/>
    <w:rsid w:val="00187C1B"/>
    <w:rsid w:val="001908AC"/>
    <w:rsid w:val="00190CFB"/>
    <w:rsid w:val="0019457A"/>
    <w:rsid w:val="00195257"/>
    <w:rsid w:val="00195388"/>
    <w:rsid w:val="0019539E"/>
    <w:rsid w:val="001968BC"/>
    <w:rsid w:val="00197E0C"/>
    <w:rsid w:val="001A0739"/>
    <w:rsid w:val="001A0F00"/>
    <w:rsid w:val="001A2BDD"/>
    <w:rsid w:val="001A3DDF"/>
    <w:rsid w:val="001A4310"/>
    <w:rsid w:val="001A4EF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C0E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E37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965"/>
    <w:rsid w:val="00216BBA"/>
    <w:rsid w:val="00216E12"/>
    <w:rsid w:val="00217466"/>
    <w:rsid w:val="0021751D"/>
    <w:rsid w:val="00217C49"/>
    <w:rsid w:val="0022177D"/>
    <w:rsid w:val="00222636"/>
    <w:rsid w:val="002242DA"/>
    <w:rsid w:val="00224C37"/>
    <w:rsid w:val="002269A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F2A"/>
    <w:rsid w:val="002B5ABD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FA1"/>
    <w:rsid w:val="0031741B"/>
    <w:rsid w:val="00321337"/>
    <w:rsid w:val="00321F2F"/>
    <w:rsid w:val="00322F77"/>
    <w:rsid w:val="003237F6"/>
    <w:rsid w:val="00324077"/>
    <w:rsid w:val="0032453B"/>
    <w:rsid w:val="00324868"/>
    <w:rsid w:val="003253F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4D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1B5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BCA"/>
    <w:rsid w:val="004350F3"/>
    <w:rsid w:val="00436980"/>
    <w:rsid w:val="00441016"/>
    <w:rsid w:val="00441F2F"/>
    <w:rsid w:val="0044228B"/>
    <w:rsid w:val="004441F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341"/>
    <w:rsid w:val="004824A7"/>
    <w:rsid w:val="00483AF0"/>
    <w:rsid w:val="00484167"/>
    <w:rsid w:val="0049146D"/>
    <w:rsid w:val="00492211"/>
    <w:rsid w:val="00492325"/>
    <w:rsid w:val="00492A6D"/>
    <w:rsid w:val="00494303"/>
    <w:rsid w:val="0049682B"/>
    <w:rsid w:val="0049714A"/>
    <w:rsid w:val="004977A3"/>
    <w:rsid w:val="004A03F7"/>
    <w:rsid w:val="004A081C"/>
    <w:rsid w:val="004A123F"/>
    <w:rsid w:val="004A2172"/>
    <w:rsid w:val="004A239F"/>
    <w:rsid w:val="004A38C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A70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293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D5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0ED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81A"/>
    <w:rsid w:val="005B3298"/>
    <w:rsid w:val="005B3C13"/>
    <w:rsid w:val="005B5516"/>
    <w:rsid w:val="005B5D2B"/>
    <w:rsid w:val="005C1496"/>
    <w:rsid w:val="005C1794"/>
    <w:rsid w:val="005C17C5"/>
    <w:rsid w:val="005C2B21"/>
    <w:rsid w:val="005C2C00"/>
    <w:rsid w:val="005C4C6F"/>
    <w:rsid w:val="005C5127"/>
    <w:rsid w:val="005C7CCB"/>
    <w:rsid w:val="005D1444"/>
    <w:rsid w:val="005D23A1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21F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B9A"/>
    <w:rsid w:val="00677D4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24D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57D"/>
    <w:rsid w:val="006D3005"/>
    <w:rsid w:val="006D3A40"/>
    <w:rsid w:val="006D504F"/>
    <w:rsid w:val="006E0CAC"/>
    <w:rsid w:val="006E1CFB"/>
    <w:rsid w:val="006E1F94"/>
    <w:rsid w:val="006E26C1"/>
    <w:rsid w:val="006E30A8"/>
    <w:rsid w:val="006E45B0"/>
    <w:rsid w:val="006E5692"/>
    <w:rsid w:val="006F188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09C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D40"/>
    <w:rsid w:val="007E7303"/>
    <w:rsid w:val="007F3861"/>
    <w:rsid w:val="007F4162"/>
    <w:rsid w:val="007F5441"/>
    <w:rsid w:val="007F5FB4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CF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3D4"/>
    <w:rsid w:val="008D27A5"/>
    <w:rsid w:val="008D2AAB"/>
    <w:rsid w:val="008D309C"/>
    <w:rsid w:val="008D58F9"/>
    <w:rsid w:val="008D626F"/>
    <w:rsid w:val="008D7427"/>
    <w:rsid w:val="008E3338"/>
    <w:rsid w:val="008E47BE"/>
    <w:rsid w:val="008E4B9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46C"/>
    <w:rsid w:val="00925CE1"/>
    <w:rsid w:val="00925F5C"/>
    <w:rsid w:val="00930897"/>
    <w:rsid w:val="009320D2"/>
    <w:rsid w:val="009329FB"/>
    <w:rsid w:val="00932C77"/>
    <w:rsid w:val="00932F8A"/>
    <w:rsid w:val="0093417F"/>
    <w:rsid w:val="00934AC2"/>
    <w:rsid w:val="009375BB"/>
    <w:rsid w:val="0094017D"/>
    <w:rsid w:val="009418E9"/>
    <w:rsid w:val="00945D60"/>
    <w:rsid w:val="00946044"/>
    <w:rsid w:val="0094653B"/>
    <w:rsid w:val="009465AB"/>
    <w:rsid w:val="00946DEE"/>
    <w:rsid w:val="00953499"/>
    <w:rsid w:val="00954A16"/>
    <w:rsid w:val="0095696D"/>
    <w:rsid w:val="009577FE"/>
    <w:rsid w:val="00960F2D"/>
    <w:rsid w:val="0096482F"/>
    <w:rsid w:val="00964E3A"/>
    <w:rsid w:val="00967126"/>
    <w:rsid w:val="00970EAE"/>
    <w:rsid w:val="00971627"/>
    <w:rsid w:val="00972797"/>
    <w:rsid w:val="0097279D"/>
    <w:rsid w:val="00973F0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6BF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65D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286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ED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95D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C9A"/>
    <w:rsid w:val="00C50CAD"/>
    <w:rsid w:val="00C55498"/>
    <w:rsid w:val="00C55F17"/>
    <w:rsid w:val="00C561C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76A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A60"/>
    <w:rsid w:val="00D30534"/>
    <w:rsid w:val="00D35728"/>
    <w:rsid w:val="00D3579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9ED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0DA"/>
    <w:rsid w:val="00E71254"/>
    <w:rsid w:val="00E7314D"/>
    <w:rsid w:val="00E73CCD"/>
    <w:rsid w:val="00E75A53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D8B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6FA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A60"/>
    <w:rsid w:val="00FB73AE"/>
    <w:rsid w:val="00FC5388"/>
    <w:rsid w:val="00FC726C"/>
    <w:rsid w:val="00FD1B4B"/>
    <w:rsid w:val="00FD1B94"/>
    <w:rsid w:val="00FD575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49756-D179-4455-9608-E22E74DF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02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0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02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0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021F"/>
    <w:rPr>
      <w:b/>
      <w:bCs/>
    </w:rPr>
  </w:style>
  <w:style w:type="paragraph" w:styleId="Revision">
    <w:name w:val="Revision"/>
    <w:hidden/>
    <w:uiPriority w:val="99"/>
    <w:semiHidden/>
    <w:rsid w:val="008D62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6402</Characters>
  <Application>Microsoft Office Word</Application>
  <DocSecurity>4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HB04944 (Committee Report (Substituted))</vt:lpstr>
    </vt:vector>
  </TitlesOfParts>
  <Company>State of Texas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27406</dc:subject>
  <dc:creator>State of Texas</dc:creator>
  <dc:description>HB 4944 by Buckley-(H)Public Education (Substitute Document Number: 88R 18451)</dc:description>
  <cp:lastModifiedBy>Stacey Nicchio</cp:lastModifiedBy>
  <cp:revision>2</cp:revision>
  <cp:lastPrinted>2003-11-26T17:21:00Z</cp:lastPrinted>
  <dcterms:created xsi:type="dcterms:W3CDTF">2023-05-09T00:18:00Z</dcterms:created>
  <dcterms:modified xsi:type="dcterms:W3CDTF">2023-05-09T00:18:00Z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23.121.1331</vt:lpwstr>
  </property>
</Properties>
</file>