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1571A" w14:paraId="28B892E8" w14:textId="77777777" w:rsidTr="00345119">
        <w:tc>
          <w:tcPr>
            <w:tcW w:w="9576" w:type="dxa"/>
            <w:noWrap/>
          </w:tcPr>
          <w:p w14:paraId="1E0E6154" w14:textId="77777777" w:rsidR="008423E4" w:rsidRPr="0022177D" w:rsidRDefault="00B20323" w:rsidP="00CC6710">
            <w:pPr>
              <w:pStyle w:val="Heading1"/>
            </w:pPr>
            <w:r w:rsidRPr="00631897">
              <w:t>BILL ANALYSIS</w:t>
            </w:r>
          </w:p>
        </w:tc>
      </w:tr>
    </w:tbl>
    <w:p w14:paraId="4BE89B62" w14:textId="77777777" w:rsidR="008423E4" w:rsidRPr="0022177D" w:rsidRDefault="008423E4" w:rsidP="00CC6710">
      <w:pPr>
        <w:jc w:val="center"/>
      </w:pPr>
    </w:p>
    <w:p w14:paraId="359DD4EB" w14:textId="77777777" w:rsidR="008423E4" w:rsidRPr="00B31F0E" w:rsidRDefault="008423E4" w:rsidP="00CC6710"/>
    <w:p w14:paraId="02FE1ECE" w14:textId="77777777" w:rsidR="008423E4" w:rsidRPr="00742794" w:rsidRDefault="008423E4" w:rsidP="00CC671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1571A" w14:paraId="497B0447" w14:textId="77777777" w:rsidTr="00345119">
        <w:tc>
          <w:tcPr>
            <w:tcW w:w="9576" w:type="dxa"/>
          </w:tcPr>
          <w:p w14:paraId="69F079BC" w14:textId="316FFBBC" w:rsidR="008423E4" w:rsidRPr="00861995" w:rsidRDefault="00B20323" w:rsidP="00CC6710">
            <w:pPr>
              <w:jc w:val="right"/>
            </w:pPr>
            <w:r>
              <w:t>C.S.H.B. 4952</w:t>
            </w:r>
          </w:p>
        </w:tc>
      </w:tr>
      <w:tr w:rsidR="00B1571A" w14:paraId="71EA814F" w14:textId="77777777" w:rsidTr="00345119">
        <w:tc>
          <w:tcPr>
            <w:tcW w:w="9576" w:type="dxa"/>
          </w:tcPr>
          <w:p w14:paraId="0F60069D" w14:textId="6894885B" w:rsidR="008423E4" w:rsidRPr="00861995" w:rsidRDefault="00B20323" w:rsidP="00CC6710">
            <w:pPr>
              <w:jc w:val="right"/>
            </w:pPr>
            <w:r>
              <w:t xml:space="preserve">By: </w:t>
            </w:r>
            <w:r w:rsidR="00C72C5A">
              <w:t>Slawson</w:t>
            </w:r>
          </w:p>
        </w:tc>
      </w:tr>
      <w:tr w:rsidR="00B1571A" w14:paraId="73D13C9C" w14:textId="77777777" w:rsidTr="00345119">
        <w:tc>
          <w:tcPr>
            <w:tcW w:w="9576" w:type="dxa"/>
          </w:tcPr>
          <w:p w14:paraId="4C6FB074" w14:textId="19E3EE88" w:rsidR="008423E4" w:rsidRPr="00861995" w:rsidRDefault="00B20323" w:rsidP="00CC6710">
            <w:pPr>
              <w:jc w:val="right"/>
            </w:pPr>
            <w:r>
              <w:t>State Affairs</w:t>
            </w:r>
          </w:p>
        </w:tc>
      </w:tr>
      <w:tr w:rsidR="00B1571A" w14:paraId="0ADD37AE" w14:textId="77777777" w:rsidTr="00345119">
        <w:tc>
          <w:tcPr>
            <w:tcW w:w="9576" w:type="dxa"/>
          </w:tcPr>
          <w:p w14:paraId="3D0F3125" w14:textId="23527756" w:rsidR="008423E4" w:rsidRDefault="00B20323" w:rsidP="00CC6710">
            <w:pPr>
              <w:jc w:val="right"/>
            </w:pPr>
            <w:r>
              <w:t>Committee Report (Substituted)</w:t>
            </w:r>
          </w:p>
        </w:tc>
      </w:tr>
    </w:tbl>
    <w:p w14:paraId="63ADBC84" w14:textId="77777777" w:rsidR="008423E4" w:rsidRDefault="008423E4" w:rsidP="00CC6710">
      <w:pPr>
        <w:tabs>
          <w:tab w:val="right" w:pos="9360"/>
        </w:tabs>
      </w:pPr>
    </w:p>
    <w:p w14:paraId="1B25F789" w14:textId="77777777" w:rsidR="008423E4" w:rsidRDefault="008423E4" w:rsidP="00CC6710"/>
    <w:p w14:paraId="1A96059C" w14:textId="77777777" w:rsidR="008423E4" w:rsidRDefault="008423E4" w:rsidP="00CC671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1571A" w14:paraId="72BCC525" w14:textId="77777777" w:rsidTr="00345119">
        <w:tc>
          <w:tcPr>
            <w:tcW w:w="9576" w:type="dxa"/>
          </w:tcPr>
          <w:p w14:paraId="0861E60D" w14:textId="77777777" w:rsidR="008423E4" w:rsidRPr="00A8133F" w:rsidRDefault="00B20323" w:rsidP="00CC671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EC332ED" w14:textId="77777777" w:rsidR="008423E4" w:rsidRDefault="008423E4" w:rsidP="00CC6710"/>
          <w:p w14:paraId="11857C67" w14:textId="4DD7707C" w:rsidR="008423E4" w:rsidRDefault="00B20323" w:rsidP="00CC67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22762">
              <w:t xml:space="preserve">There are ever increasing threats </w:t>
            </w:r>
            <w:r w:rsidR="00A12EB0">
              <w:t>to our</w:t>
            </w:r>
            <w:r w:rsidRPr="00522762">
              <w:t xml:space="preserve"> electric grid security</w:t>
            </w:r>
            <w:r w:rsidR="00A12EB0">
              <w:t>.</w:t>
            </w:r>
            <w:r w:rsidRPr="00522762">
              <w:t xml:space="preserve"> </w:t>
            </w:r>
            <w:r w:rsidR="00A12EB0">
              <w:t>As such,</w:t>
            </w:r>
            <w:r w:rsidRPr="00522762">
              <w:t xml:space="preserve"> the </w:t>
            </w:r>
            <w:r w:rsidR="00A12EB0">
              <w:t xml:space="preserve">state </w:t>
            </w:r>
            <w:r w:rsidRPr="00522762">
              <w:t>need</w:t>
            </w:r>
            <w:r w:rsidR="00A12EB0">
              <w:t>s</w:t>
            </w:r>
            <w:r w:rsidRPr="00522762">
              <w:t xml:space="preserve"> to </w:t>
            </w:r>
            <w:r w:rsidR="00A12EB0" w:rsidRPr="00522762">
              <w:t>adequately</w:t>
            </w:r>
            <w:r w:rsidRPr="00522762">
              <w:t xml:space="preserve"> protect </w:t>
            </w:r>
            <w:r w:rsidR="00883D52">
              <w:t>critical transmission</w:t>
            </w:r>
            <w:r w:rsidRPr="00522762">
              <w:t xml:space="preserve"> substations </w:t>
            </w:r>
            <w:r w:rsidR="00883D52">
              <w:t>that ensure power remains flowing through</w:t>
            </w:r>
            <w:r w:rsidRPr="00522762">
              <w:t xml:space="preserve"> the grid.</w:t>
            </w:r>
            <w:r w:rsidR="00883D52">
              <w:t xml:space="preserve"> C.S.H.B. 49</w:t>
            </w:r>
            <w:r w:rsidR="00751904">
              <w:t>5</w:t>
            </w:r>
            <w:r w:rsidR="00883D52">
              <w:t>2 seeks to address these security needs by providing for the reporting of information on the physical security of these substations to the Texas Electricity Supply Chain Security and Mapping Committee.</w:t>
            </w:r>
          </w:p>
          <w:p w14:paraId="490227C6" w14:textId="77777777" w:rsidR="008423E4" w:rsidRPr="00E26B13" w:rsidRDefault="008423E4" w:rsidP="00CC6710">
            <w:pPr>
              <w:rPr>
                <w:b/>
              </w:rPr>
            </w:pPr>
          </w:p>
        </w:tc>
      </w:tr>
      <w:tr w:rsidR="00B1571A" w14:paraId="4601FE6A" w14:textId="77777777" w:rsidTr="00345119">
        <w:tc>
          <w:tcPr>
            <w:tcW w:w="9576" w:type="dxa"/>
          </w:tcPr>
          <w:p w14:paraId="4EE42410" w14:textId="77777777" w:rsidR="0017725B" w:rsidRDefault="00B20323" w:rsidP="00CC671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1484AF6" w14:textId="77777777" w:rsidR="0017725B" w:rsidRDefault="0017725B" w:rsidP="00CC6710">
            <w:pPr>
              <w:rPr>
                <w:b/>
                <w:u w:val="single"/>
              </w:rPr>
            </w:pPr>
          </w:p>
          <w:p w14:paraId="1670B01C" w14:textId="7C20EFF2" w:rsidR="0072461E" w:rsidRPr="0072461E" w:rsidRDefault="00B20323" w:rsidP="00CC671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</w:t>
            </w:r>
            <w:r>
              <w:t>lity of a person for community supervision, parole, or mandatory supervision.</w:t>
            </w:r>
          </w:p>
          <w:p w14:paraId="12118AAE" w14:textId="77777777" w:rsidR="0017725B" w:rsidRPr="0017725B" w:rsidRDefault="0017725B" w:rsidP="00CC6710">
            <w:pPr>
              <w:rPr>
                <w:b/>
                <w:u w:val="single"/>
              </w:rPr>
            </w:pPr>
          </w:p>
        </w:tc>
      </w:tr>
      <w:tr w:rsidR="00B1571A" w14:paraId="6F796AE2" w14:textId="77777777" w:rsidTr="00345119">
        <w:tc>
          <w:tcPr>
            <w:tcW w:w="9576" w:type="dxa"/>
          </w:tcPr>
          <w:p w14:paraId="558A141B" w14:textId="77777777" w:rsidR="008423E4" w:rsidRPr="00A8133F" w:rsidRDefault="00B20323" w:rsidP="00CC671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D32235B" w14:textId="77777777" w:rsidR="008423E4" w:rsidRDefault="008423E4" w:rsidP="00CC6710"/>
          <w:p w14:paraId="59E20934" w14:textId="4F8805E7" w:rsidR="0072461E" w:rsidRDefault="00B20323" w:rsidP="00CC67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14:paraId="7CB60F64" w14:textId="77777777" w:rsidR="008423E4" w:rsidRPr="00E21FDC" w:rsidRDefault="008423E4" w:rsidP="00CC6710">
            <w:pPr>
              <w:rPr>
                <w:b/>
              </w:rPr>
            </w:pPr>
          </w:p>
        </w:tc>
      </w:tr>
      <w:tr w:rsidR="00B1571A" w14:paraId="16490949" w14:textId="77777777" w:rsidTr="00345119">
        <w:tc>
          <w:tcPr>
            <w:tcW w:w="9576" w:type="dxa"/>
          </w:tcPr>
          <w:p w14:paraId="20064E2C" w14:textId="77777777" w:rsidR="008423E4" w:rsidRPr="00A8133F" w:rsidRDefault="00B20323" w:rsidP="00CC671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CF1C162" w14:textId="77777777" w:rsidR="008423E4" w:rsidRDefault="008423E4" w:rsidP="00CC6710"/>
          <w:p w14:paraId="7E3B2693" w14:textId="629185E8" w:rsidR="00841C38" w:rsidRDefault="00B20323" w:rsidP="00CC67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F97772">
              <w:t xml:space="preserve">H.B. 4952 amends the Utilities Code to require the </w:t>
            </w:r>
            <w:r w:rsidR="00F97772" w:rsidRPr="00F97772">
              <w:t>Public Utility Commission of Texas</w:t>
            </w:r>
            <w:r w:rsidR="00F97772">
              <w:t xml:space="preserve"> (PUC) to </w:t>
            </w:r>
            <w:r w:rsidR="00F97772" w:rsidRPr="00F97772">
              <w:t xml:space="preserve">require each </w:t>
            </w:r>
            <w:r>
              <w:t xml:space="preserve">electric utility, </w:t>
            </w:r>
            <w:r w:rsidR="00F97772" w:rsidRPr="00F97772">
              <w:t xml:space="preserve">electric cooperative, municipally owned utility, </w:t>
            </w:r>
            <w:r>
              <w:t xml:space="preserve">river authority that owns electric transmission assets, </w:t>
            </w:r>
            <w:r w:rsidR="00F97772" w:rsidRPr="00F97772">
              <w:t>and transmission and distribution utility to</w:t>
            </w:r>
            <w:r>
              <w:t xml:space="preserve"> </w:t>
            </w:r>
            <w:r w:rsidRPr="00841C38">
              <w:t xml:space="preserve">provide to the chair of the </w:t>
            </w:r>
            <w:r>
              <w:t>Texas Electricity Supply Chain Security and Mapping Committee</w:t>
            </w:r>
            <w:r w:rsidRPr="00841C38">
              <w:t xml:space="preserve"> the following information</w:t>
            </w:r>
            <w:r>
              <w:t>:</w:t>
            </w:r>
          </w:p>
          <w:p w14:paraId="06683692" w14:textId="77777777" w:rsidR="00841C38" w:rsidRDefault="00B20323" w:rsidP="00CC6710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location of any critical facility </w:t>
            </w:r>
            <w:r>
              <w:t>owned or operated by the utility, cooperative, or authority;</w:t>
            </w:r>
          </w:p>
          <w:p w14:paraId="67022E18" w14:textId="14E0EE07" w:rsidR="00841C38" w:rsidRDefault="00B20323" w:rsidP="00CC6710">
            <w:pPr>
              <w:pStyle w:val="Header"/>
              <w:numPr>
                <w:ilvl w:val="0"/>
                <w:numId w:val="1"/>
              </w:numPr>
              <w:jc w:val="both"/>
            </w:pPr>
            <w:r>
              <w:t>security measures in place to protect each critical facility against physical attack; and</w:t>
            </w:r>
          </w:p>
          <w:p w14:paraId="4CF8DAF3" w14:textId="3BD3730F" w:rsidR="00841C38" w:rsidRDefault="00B20323" w:rsidP="00CC671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contact information for the applicable utility, cooperative, or authority.</w:t>
            </w:r>
          </w:p>
          <w:p w14:paraId="51948672" w14:textId="42752124" w:rsidR="009C36CD" w:rsidRPr="009C36CD" w:rsidRDefault="00B20323" w:rsidP="00CC67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authorizes the chair </w:t>
            </w:r>
            <w:r>
              <w:t xml:space="preserve">to </w:t>
            </w:r>
            <w:r w:rsidRPr="00841C38">
              <w:t xml:space="preserve">share </w:t>
            </w:r>
            <w:r w:rsidRPr="001D77E2">
              <w:t>information</w:t>
            </w:r>
            <w:r w:rsidR="001D77E2">
              <w:t xml:space="preserve"> they receive</w:t>
            </w:r>
            <w:r w:rsidRPr="001D77E2">
              <w:t xml:space="preserve"> </w:t>
            </w:r>
            <w:r w:rsidRPr="00841C38">
              <w:t>related to a physical attack or a threat of a physical attack on a critical facility with a law enforcement agency that has jurisdiction over the critical facility.</w:t>
            </w:r>
            <w:r>
              <w:t xml:space="preserve"> </w:t>
            </w:r>
            <w:r w:rsidR="00F97772">
              <w:t xml:space="preserve">The bill requires the </w:t>
            </w:r>
            <w:r>
              <w:t xml:space="preserve">chair </w:t>
            </w:r>
            <w:r w:rsidR="00F97772">
              <w:t xml:space="preserve">to </w:t>
            </w:r>
            <w:r w:rsidR="00F97772" w:rsidRPr="00F97772">
              <w:t xml:space="preserve">provide the Department of Public Safety </w:t>
            </w:r>
            <w:r w:rsidR="00F97772">
              <w:t xml:space="preserve">(DPS) </w:t>
            </w:r>
            <w:r w:rsidR="00F97772" w:rsidRPr="00F97772">
              <w:t xml:space="preserve">with access to </w:t>
            </w:r>
            <w:r w:rsidR="00F97772" w:rsidRPr="00C04B56">
              <w:t>the information</w:t>
            </w:r>
            <w:r w:rsidR="00535955" w:rsidRPr="00C04B56">
              <w:t xml:space="preserve"> </w:t>
            </w:r>
            <w:r w:rsidR="00692074" w:rsidRPr="00C04B56">
              <w:t>provided</w:t>
            </w:r>
            <w:r w:rsidR="00692074">
              <w:t xml:space="preserve"> </w:t>
            </w:r>
            <w:r w:rsidR="00535955">
              <w:t>and makes the</w:t>
            </w:r>
            <w:r w:rsidR="00F97772">
              <w:t xml:space="preserve"> information provided to the </w:t>
            </w:r>
            <w:r>
              <w:t xml:space="preserve">chair </w:t>
            </w:r>
            <w:r w:rsidR="00F97772">
              <w:t>or</w:t>
            </w:r>
            <w:r w:rsidR="00692074">
              <w:t xml:space="preserve"> to</w:t>
            </w:r>
            <w:r w:rsidR="00F97772">
              <w:t xml:space="preserve"> DPS confidential and </w:t>
            </w:r>
            <w:r w:rsidR="00535955">
              <w:t>exempt from</w:t>
            </w:r>
            <w:r w:rsidR="00F97772">
              <w:t xml:space="preserve"> disclosure</w:t>
            </w:r>
            <w:r w:rsidR="00535955">
              <w:t xml:space="preserve"> under state public information law</w:t>
            </w:r>
            <w:r w:rsidR="00F97772">
              <w:t>.</w:t>
            </w:r>
            <w:r w:rsidR="00692074">
              <w:t xml:space="preserve"> For these purposes, the bill defines "critical facility" as </w:t>
            </w:r>
            <w:r w:rsidR="00692074" w:rsidRPr="00161A25">
              <w:t>a transmission substation and any associated control center the inoperability of which could result in widespread instability, uncontrolled separation, or cascading outages within an interconnection.</w:t>
            </w:r>
          </w:p>
          <w:p w14:paraId="49F6A5F2" w14:textId="77777777" w:rsidR="008423E4" w:rsidRPr="00835628" w:rsidRDefault="008423E4" w:rsidP="00CC6710">
            <w:pPr>
              <w:rPr>
                <w:b/>
              </w:rPr>
            </w:pPr>
          </w:p>
        </w:tc>
      </w:tr>
      <w:tr w:rsidR="00B1571A" w14:paraId="08D94584" w14:textId="77777777" w:rsidTr="00345119">
        <w:tc>
          <w:tcPr>
            <w:tcW w:w="9576" w:type="dxa"/>
          </w:tcPr>
          <w:p w14:paraId="0AF5FD3B" w14:textId="77777777" w:rsidR="008423E4" w:rsidRPr="00A8133F" w:rsidRDefault="00B20323" w:rsidP="00CC671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A006D65" w14:textId="77777777" w:rsidR="008423E4" w:rsidRDefault="008423E4" w:rsidP="00CC6710"/>
          <w:p w14:paraId="1D716E92" w14:textId="16A20596" w:rsidR="008423E4" w:rsidRPr="003624F2" w:rsidRDefault="00B20323" w:rsidP="00CC671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</w:t>
            </w:r>
            <w:r>
              <w:t>eceive the necessary vote, September 1, 2023.</w:t>
            </w:r>
          </w:p>
          <w:p w14:paraId="52660582" w14:textId="77777777" w:rsidR="008423E4" w:rsidRDefault="008423E4" w:rsidP="00CC6710">
            <w:pPr>
              <w:rPr>
                <w:b/>
              </w:rPr>
            </w:pPr>
          </w:p>
          <w:p w14:paraId="02427FD3" w14:textId="77777777" w:rsidR="00CC6710" w:rsidRDefault="00CC6710" w:rsidP="00CC6710">
            <w:pPr>
              <w:rPr>
                <w:b/>
              </w:rPr>
            </w:pPr>
          </w:p>
          <w:p w14:paraId="23AB9754" w14:textId="2EEE2D09" w:rsidR="00CC6710" w:rsidRPr="00233FDB" w:rsidRDefault="00CC6710" w:rsidP="00CC6710">
            <w:pPr>
              <w:rPr>
                <w:b/>
              </w:rPr>
            </w:pPr>
          </w:p>
        </w:tc>
      </w:tr>
      <w:tr w:rsidR="00B1571A" w14:paraId="32437C90" w14:textId="77777777" w:rsidTr="00345119">
        <w:tc>
          <w:tcPr>
            <w:tcW w:w="9576" w:type="dxa"/>
          </w:tcPr>
          <w:p w14:paraId="153D5D74" w14:textId="77777777" w:rsidR="00C72C5A" w:rsidRDefault="00B20323" w:rsidP="00CC671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95AC564" w14:textId="77777777" w:rsidR="00EF2CE5" w:rsidRDefault="00EF2CE5" w:rsidP="00CC6710">
            <w:pPr>
              <w:jc w:val="both"/>
            </w:pPr>
          </w:p>
          <w:p w14:paraId="779668BF" w14:textId="159FA440" w:rsidR="00EF2CE5" w:rsidRDefault="00B20323" w:rsidP="00CC6710">
            <w:pPr>
              <w:jc w:val="both"/>
            </w:pPr>
            <w:r>
              <w:t xml:space="preserve">While C.S.H.B. 4952 may differ from the introduced in minor or nonsubstantive ways, the following summarizes the substantial differences between the </w:t>
            </w:r>
            <w:r>
              <w:t>introduced and committee substitute versions of the bill.</w:t>
            </w:r>
          </w:p>
          <w:p w14:paraId="286CE8C5" w14:textId="752A85E9" w:rsidR="00EF2CE5" w:rsidRDefault="00EF2CE5" w:rsidP="00CC6710">
            <w:pPr>
              <w:jc w:val="both"/>
            </w:pPr>
          </w:p>
          <w:p w14:paraId="3DB7F2EB" w14:textId="352F9A7D" w:rsidR="00522762" w:rsidRDefault="00B20323" w:rsidP="00CC6710">
            <w:pPr>
              <w:jc w:val="both"/>
            </w:pPr>
            <w:r>
              <w:t>Both the introduced and the substitute provide for the reporting of certain information regarding the physical security of substations. However, the substitute differs from the introduced in the fo</w:t>
            </w:r>
            <w:r>
              <w:t>llowing ways:</w:t>
            </w:r>
          </w:p>
          <w:p w14:paraId="6830F03C" w14:textId="3EE98243" w:rsidR="004B2B29" w:rsidRDefault="00B20323" w:rsidP="00CC6710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the substitute expands the entities subject to </w:t>
            </w:r>
            <w:r w:rsidRPr="00DB0B7E">
              <w:t>the</w:t>
            </w:r>
            <w:r w:rsidR="00DB0B7E">
              <w:t xml:space="preserve"> reporting</w:t>
            </w:r>
            <w:r w:rsidRPr="00DB0B7E">
              <w:t xml:space="preserve"> requirement</w:t>
            </w:r>
            <w:r>
              <w:t xml:space="preserve"> to include electric utilities and certain river authorities, </w:t>
            </w:r>
            <w:r w:rsidRPr="00C04B56">
              <w:t>whereas the introduced was limited only to electric cooperatives, municipal</w:t>
            </w:r>
            <w:r w:rsidR="00FE203E">
              <w:t>l</w:t>
            </w:r>
            <w:r w:rsidRPr="00C04B56">
              <w:t>y owned utilities, and transmiss</w:t>
            </w:r>
            <w:r w:rsidRPr="00C04B56">
              <w:t>ion and distribution utilities</w:t>
            </w:r>
            <w:r>
              <w:t>;</w:t>
            </w:r>
          </w:p>
          <w:p w14:paraId="7E46738B" w14:textId="7E966C2F" w:rsidR="00522762" w:rsidRDefault="00B20323" w:rsidP="00CC6710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>whereas the introduced required the information to be included in an emergency operation</w:t>
            </w:r>
            <w:r w:rsidR="00E30D61">
              <w:t>s</w:t>
            </w:r>
            <w:r>
              <w:t xml:space="preserve"> plan</w:t>
            </w:r>
            <w:r w:rsidR="00DB0B7E">
              <w:t xml:space="preserve"> filed with the PUC and required the PUC to provide DPS with access to the information</w:t>
            </w:r>
            <w:r>
              <w:t>, the substitute requires the information to</w:t>
            </w:r>
            <w:r>
              <w:t xml:space="preserve"> be provided to the chair</w:t>
            </w:r>
            <w:r w:rsidR="00E30D61">
              <w:t xml:space="preserve"> of the Texas Electricity Supply Chain Security and Mapping Committee</w:t>
            </w:r>
            <w:r w:rsidR="00DB0B7E">
              <w:t xml:space="preserve"> and requires the chair to provide DPS with access to the information</w:t>
            </w:r>
            <w:r>
              <w:t>;</w:t>
            </w:r>
          </w:p>
          <w:p w14:paraId="7D9B7051" w14:textId="5748945A" w:rsidR="004B2B29" w:rsidRDefault="00B20323" w:rsidP="00CC6710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whereas the introduced </w:t>
            </w:r>
            <w:r w:rsidRPr="00C04B56">
              <w:t>required information to be reported regarding</w:t>
            </w:r>
            <w:r>
              <w:t xml:space="preserve"> critical substations, </w:t>
            </w:r>
            <w:r>
              <w:t xml:space="preserve">with no specification provided regarding which substations are classified as such, the substitute requires </w:t>
            </w:r>
            <w:r w:rsidRPr="00C04B56">
              <w:t>that information be reported regarding each</w:t>
            </w:r>
            <w:r w:rsidR="00EF2CE5">
              <w:t xml:space="preserve"> "critical facility</w:t>
            </w:r>
            <w:r>
              <w:t>,</w:t>
            </w:r>
            <w:r w:rsidR="00EF2CE5">
              <w:t>"</w:t>
            </w:r>
            <w:r>
              <w:t xml:space="preserve"> which the substitute defines</w:t>
            </w:r>
            <w:r w:rsidR="00EF2CE5">
              <w:t xml:space="preserve"> as </w:t>
            </w:r>
            <w:r w:rsidR="00EF2CE5" w:rsidRPr="00EF2CE5">
              <w:t>a transmission substation and any associated control center the inoperability of which could result in widespread instability, uncontrolled separation, or cascading outages within an interconnection</w:t>
            </w:r>
            <w:r>
              <w:t>;</w:t>
            </w:r>
            <w:r w:rsidR="00EF2CE5">
              <w:t xml:space="preserve"> </w:t>
            </w:r>
          </w:p>
          <w:p w14:paraId="7B602C42" w14:textId="352A334D" w:rsidR="00EF2CE5" w:rsidRDefault="00B20323" w:rsidP="00CC6710">
            <w:pPr>
              <w:pStyle w:val="ListParagraph"/>
              <w:numPr>
                <w:ilvl w:val="0"/>
                <w:numId w:val="3"/>
              </w:numPr>
              <w:contextualSpacing w:val="0"/>
              <w:jc w:val="both"/>
            </w:pPr>
            <w:r>
              <w:t xml:space="preserve">whereas the introduced </w:t>
            </w:r>
            <w:r w:rsidR="009F787D">
              <w:t>required</w:t>
            </w:r>
            <w:r>
              <w:t xml:space="preserve"> that information about the physical security of the critical </w:t>
            </w:r>
            <w:r w:rsidR="009F787D">
              <w:t>substations be reported, t</w:t>
            </w:r>
            <w:r w:rsidR="003A0D53">
              <w:t xml:space="preserve">he substitute requires </w:t>
            </w:r>
            <w:r w:rsidR="003A0D53" w:rsidRPr="00C04B56">
              <w:t>the following information</w:t>
            </w:r>
            <w:r w:rsidR="003A0D53">
              <w:t xml:space="preserve"> to </w:t>
            </w:r>
            <w:r w:rsidR="009F787D">
              <w:t>be reported</w:t>
            </w:r>
            <w:r w:rsidR="003A0D53">
              <w:t>:</w:t>
            </w:r>
          </w:p>
          <w:p w14:paraId="4FABC8BC" w14:textId="2EFED442" w:rsidR="009F787D" w:rsidRDefault="00B20323" w:rsidP="00CC6710">
            <w:pPr>
              <w:pStyle w:val="ListParagraph"/>
              <w:numPr>
                <w:ilvl w:val="1"/>
                <w:numId w:val="3"/>
              </w:numPr>
              <w:contextualSpacing w:val="0"/>
              <w:jc w:val="both"/>
            </w:pPr>
            <w:r>
              <w:t>the location of any critical facility owned or operated by the utility, cooperative, or authority; and</w:t>
            </w:r>
          </w:p>
          <w:p w14:paraId="72BDDC96" w14:textId="0121C62A" w:rsidR="003A0D53" w:rsidRDefault="00B20323" w:rsidP="00CC6710">
            <w:pPr>
              <w:pStyle w:val="ListParagraph"/>
              <w:numPr>
                <w:ilvl w:val="1"/>
                <w:numId w:val="3"/>
              </w:numPr>
              <w:contextualSpacing w:val="0"/>
              <w:jc w:val="both"/>
            </w:pPr>
            <w:r>
              <w:t>security measures in place to protect each critical facility a</w:t>
            </w:r>
            <w:r>
              <w:t xml:space="preserve">gainst physical attack; </w:t>
            </w:r>
          </w:p>
          <w:p w14:paraId="73DED3B0" w14:textId="07BBF91A" w:rsidR="003A0D53" w:rsidRDefault="00B20323" w:rsidP="00CC6710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whereas the introduced required that contact information for each law enforcement agency with jurisdiction over a critical substation be reported, the substitute requires instead that contact information for the applicable utility,</w:t>
            </w:r>
            <w:r>
              <w:t xml:space="preserve"> cooperative, or authority be reported;</w:t>
            </w:r>
            <w:r w:rsidR="001807B9">
              <w:t xml:space="preserve"> </w:t>
            </w:r>
            <w:r w:rsidR="00DB0B7E">
              <w:t>and</w:t>
            </w:r>
          </w:p>
          <w:p w14:paraId="4C115AF3" w14:textId="0D25FDF2" w:rsidR="00D31FD7" w:rsidRDefault="00B20323" w:rsidP="00CC6710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</w:pPr>
            <w:r>
              <w:t>t</w:t>
            </w:r>
            <w:r w:rsidR="00397B45">
              <w:t xml:space="preserve">he substitute </w:t>
            </w:r>
            <w:r>
              <w:t xml:space="preserve">includes a provision not in the introduced </w:t>
            </w:r>
            <w:r w:rsidR="00B11452">
              <w:t>authoriz</w:t>
            </w:r>
            <w:r>
              <w:t>ing</w:t>
            </w:r>
            <w:r w:rsidR="00B11452">
              <w:t xml:space="preserve"> the </w:t>
            </w:r>
            <w:r>
              <w:t xml:space="preserve">committee </w:t>
            </w:r>
            <w:r w:rsidR="00B11452">
              <w:t xml:space="preserve">chair to share </w:t>
            </w:r>
            <w:r w:rsidR="00B11452" w:rsidRPr="001D77E2">
              <w:t>information</w:t>
            </w:r>
            <w:r>
              <w:t xml:space="preserve"> related to a physical attack or a threat of a physical attack on a critical facility </w:t>
            </w:r>
            <w:r w:rsidR="00B11452">
              <w:t xml:space="preserve">with </w:t>
            </w:r>
            <w:r w:rsidR="0063033E">
              <w:t>the applicable law enforcement agency</w:t>
            </w:r>
            <w:r w:rsidR="00DB0B7E">
              <w:t>.</w:t>
            </w:r>
          </w:p>
          <w:p w14:paraId="0FAFB87E" w14:textId="77777777" w:rsidR="00A12EB0" w:rsidRDefault="00A12EB0" w:rsidP="00CC6710">
            <w:pPr>
              <w:jc w:val="both"/>
            </w:pPr>
          </w:p>
          <w:p w14:paraId="6648101C" w14:textId="447834AA" w:rsidR="00397B45" w:rsidRDefault="00B20323" w:rsidP="00CC6710">
            <w:pPr>
              <w:jc w:val="both"/>
            </w:pPr>
            <w:r>
              <w:t xml:space="preserve">The substitute omits </w:t>
            </w:r>
            <w:r w:rsidR="00D31FD7">
              <w:t xml:space="preserve">the </w:t>
            </w:r>
            <w:r>
              <w:t xml:space="preserve">provision </w:t>
            </w:r>
            <w:r w:rsidR="00D31FD7">
              <w:t xml:space="preserve">from the introduced </w:t>
            </w:r>
            <w:r>
              <w:t xml:space="preserve">including the public safety director of DPS </w:t>
            </w:r>
            <w:r w:rsidR="00A12EB0">
              <w:t>as a member of</w:t>
            </w:r>
            <w:r>
              <w:t xml:space="preserve"> the</w:t>
            </w:r>
            <w:r w:rsidR="00A12EB0">
              <w:t xml:space="preserve"> Texas Electricity Supply Chain Security and Mapping</w:t>
            </w:r>
            <w:r>
              <w:t xml:space="preserve"> </w:t>
            </w:r>
            <w:r w:rsidR="00A12EB0">
              <w:t>C</w:t>
            </w:r>
            <w:r>
              <w:t xml:space="preserve">ommittee. </w:t>
            </w:r>
          </w:p>
          <w:p w14:paraId="69AD23CE" w14:textId="603D560E" w:rsidR="00EF2CE5" w:rsidRPr="00EF2CE5" w:rsidRDefault="00EF2CE5" w:rsidP="00CC6710">
            <w:pPr>
              <w:jc w:val="both"/>
            </w:pPr>
          </w:p>
        </w:tc>
      </w:tr>
      <w:tr w:rsidR="00B1571A" w14:paraId="5F9A74DA" w14:textId="77777777" w:rsidTr="00345119">
        <w:tc>
          <w:tcPr>
            <w:tcW w:w="9576" w:type="dxa"/>
          </w:tcPr>
          <w:p w14:paraId="609C19E6" w14:textId="77777777" w:rsidR="00C72C5A" w:rsidRPr="009C1E9A" w:rsidRDefault="00C72C5A" w:rsidP="00CC6710">
            <w:pPr>
              <w:rPr>
                <w:b/>
                <w:u w:val="single"/>
              </w:rPr>
            </w:pPr>
          </w:p>
        </w:tc>
      </w:tr>
      <w:tr w:rsidR="00B1571A" w14:paraId="71F79AB4" w14:textId="77777777" w:rsidTr="00345119">
        <w:tc>
          <w:tcPr>
            <w:tcW w:w="9576" w:type="dxa"/>
          </w:tcPr>
          <w:p w14:paraId="65185812" w14:textId="77777777" w:rsidR="00C72C5A" w:rsidRPr="00C72C5A" w:rsidRDefault="00C72C5A" w:rsidP="00CC6710">
            <w:pPr>
              <w:jc w:val="both"/>
            </w:pPr>
          </w:p>
        </w:tc>
      </w:tr>
    </w:tbl>
    <w:p w14:paraId="124C7DD2" w14:textId="77777777" w:rsidR="008423E4" w:rsidRPr="00BE0E75" w:rsidRDefault="008423E4" w:rsidP="00CC6710">
      <w:pPr>
        <w:jc w:val="both"/>
        <w:rPr>
          <w:rFonts w:ascii="Arial" w:hAnsi="Arial"/>
          <w:sz w:val="16"/>
          <w:szCs w:val="16"/>
        </w:rPr>
      </w:pPr>
    </w:p>
    <w:p w14:paraId="1B83A2DB" w14:textId="77777777" w:rsidR="004108C3" w:rsidRPr="008423E4" w:rsidRDefault="004108C3" w:rsidP="00CC671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83C4" w14:textId="77777777" w:rsidR="00000000" w:rsidRDefault="00B20323">
      <w:r>
        <w:separator/>
      </w:r>
    </w:p>
  </w:endnote>
  <w:endnote w:type="continuationSeparator" w:id="0">
    <w:p w14:paraId="2F0ED628" w14:textId="77777777" w:rsidR="00000000" w:rsidRDefault="00B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1F7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1571A" w14:paraId="198235C3" w14:textId="77777777" w:rsidTr="009C1E9A">
      <w:trPr>
        <w:cantSplit/>
      </w:trPr>
      <w:tc>
        <w:tcPr>
          <w:tcW w:w="0" w:type="pct"/>
        </w:tcPr>
        <w:p w14:paraId="7DB1DE3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BA807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831DA3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8CF58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9B400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1571A" w14:paraId="38836FFD" w14:textId="77777777" w:rsidTr="009C1E9A">
      <w:trPr>
        <w:cantSplit/>
      </w:trPr>
      <w:tc>
        <w:tcPr>
          <w:tcW w:w="0" w:type="pct"/>
        </w:tcPr>
        <w:p w14:paraId="3355489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CE9F05" w14:textId="519DC284" w:rsidR="00EC379B" w:rsidRPr="009C1E9A" w:rsidRDefault="00B2032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28443-D</w:t>
          </w:r>
        </w:p>
      </w:tc>
      <w:tc>
        <w:tcPr>
          <w:tcW w:w="2453" w:type="pct"/>
        </w:tcPr>
        <w:p w14:paraId="36B77EAC" w14:textId="68E5AE98" w:rsidR="00EC379B" w:rsidRDefault="00B2032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C48EF">
            <w:t>23.126.494</w:t>
          </w:r>
          <w:r>
            <w:fldChar w:fldCharType="end"/>
          </w:r>
        </w:p>
      </w:tc>
    </w:tr>
    <w:tr w:rsidR="00B1571A" w14:paraId="49185AC6" w14:textId="77777777" w:rsidTr="009C1E9A">
      <w:trPr>
        <w:cantSplit/>
      </w:trPr>
      <w:tc>
        <w:tcPr>
          <w:tcW w:w="0" w:type="pct"/>
        </w:tcPr>
        <w:p w14:paraId="256C1F2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FF386F0" w14:textId="58428FC0" w:rsidR="00EC379B" w:rsidRPr="009C1E9A" w:rsidRDefault="00B2032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21993</w:t>
          </w:r>
        </w:p>
      </w:tc>
      <w:tc>
        <w:tcPr>
          <w:tcW w:w="2453" w:type="pct"/>
        </w:tcPr>
        <w:p w14:paraId="7C8C7D6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4B2C41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1571A" w14:paraId="3DAEF28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65F4A47" w14:textId="77777777" w:rsidR="00EC379B" w:rsidRDefault="00B2032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0B1524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B9B9C8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375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642F" w14:textId="77777777" w:rsidR="00000000" w:rsidRDefault="00B20323">
      <w:r>
        <w:separator/>
      </w:r>
    </w:p>
  </w:footnote>
  <w:footnote w:type="continuationSeparator" w:id="0">
    <w:p w14:paraId="7F0BFEA1" w14:textId="77777777" w:rsidR="00000000" w:rsidRDefault="00B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B86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EF2F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D06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C6F"/>
    <w:multiLevelType w:val="hybridMultilevel"/>
    <w:tmpl w:val="1C30E3EE"/>
    <w:lvl w:ilvl="0" w:tplc="833E6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B42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45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82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0E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02B2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E6AA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A4D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56D1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2700E"/>
    <w:multiLevelType w:val="hybridMultilevel"/>
    <w:tmpl w:val="565470F6"/>
    <w:lvl w:ilvl="0" w:tplc="1554C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E279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1E8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E1D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A2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4A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80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03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9887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87BED"/>
    <w:multiLevelType w:val="hybridMultilevel"/>
    <w:tmpl w:val="ED709610"/>
    <w:lvl w:ilvl="0" w:tplc="D5FE0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2AD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3EC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00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AA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5A0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E6D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22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4A6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45A7A"/>
    <w:multiLevelType w:val="hybridMultilevel"/>
    <w:tmpl w:val="ACA81598"/>
    <w:lvl w:ilvl="0" w:tplc="C0A86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2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2CD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8D8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AD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B89B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E6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869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2DD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7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288A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8EF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A25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07B9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3AD"/>
    <w:rsid w:val="001C7957"/>
    <w:rsid w:val="001C7DB8"/>
    <w:rsid w:val="001C7EA8"/>
    <w:rsid w:val="001D1711"/>
    <w:rsid w:val="001D2A01"/>
    <w:rsid w:val="001D2EF6"/>
    <w:rsid w:val="001D37A8"/>
    <w:rsid w:val="001D462E"/>
    <w:rsid w:val="001D77E2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EC7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2F9B"/>
    <w:rsid w:val="00393718"/>
    <w:rsid w:val="00397B45"/>
    <w:rsid w:val="003A0296"/>
    <w:rsid w:val="003A0D53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2B29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2762"/>
    <w:rsid w:val="005269CE"/>
    <w:rsid w:val="005304B2"/>
    <w:rsid w:val="005336BD"/>
    <w:rsid w:val="00534A49"/>
    <w:rsid w:val="00535955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33E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2074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53F4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461E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1904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1C38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3D5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0AA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787D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2EB0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4927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6B12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452"/>
    <w:rsid w:val="00B115DC"/>
    <w:rsid w:val="00B11952"/>
    <w:rsid w:val="00B149AC"/>
    <w:rsid w:val="00B14BD2"/>
    <w:rsid w:val="00B1557F"/>
    <w:rsid w:val="00B1571A"/>
    <w:rsid w:val="00B1668D"/>
    <w:rsid w:val="00B17981"/>
    <w:rsid w:val="00B20323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4B56"/>
    <w:rsid w:val="00C05406"/>
    <w:rsid w:val="00C05CF0"/>
    <w:rsid w:val="00C119AC"/>
    <w:rsid w:val="00C14EC4"/>
    <w:rsid w:val="00C14EE6"/>
    <w:rsid w:val="00C151DA"/>
    <w:rsid w:val="00C152A1"/>
    <w:rsid w:val="00C16CCB"/>
    <w:rsid w:val="00C17D54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2C5A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6710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1FD7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0B7E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0D61"/>
    <w:rsid w:val="00E31135"/>
    <w:rsid w:val="00E317BA"/>
    <w:rsid w:val="00E3469B"/>
    <w:rsid w:val="00E3679D"/>
    <w:rsid w:val="00E3795D"/>
    <w:rsid w:val="00E4080A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2CE5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97772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203E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6BEBBA-4061-4144-A4C7-8D7798E6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977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977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777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7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7772"/>
    <w:rPr>
      <w:b/>
      <w:bCs/>
    </w:rPr>
  </w:style>
  <w:style w:type="paragraph" w:styleId="Revision">
    <w:name w:val="Revision"/>
    <w:hidden/>
    <w:uiPriority w:val="99"/>
    <w:semiHidden/>
    <w:rsid w:val="0053595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A0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</Words>
  <Characters>4456</Characters>
  <Application>Microsoft Office Word</Application>
  <DocSecurity>4</DocSecurity>
  <Lines>99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HB04952 (Committee Report (Substituted))</vt:lpstr>
    </vt:vector>
  </TitlesOfParts>
  <Company>State of Texas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28443</dc:subject>
  <dc:creator>State of Texas</dc:creator>
  <dc:description>HB 4952 by Slawson-(H)State Affairs (Substitute Document Number: 88R 21993)</dc:description>
  <cp:lastModifiedBy>Matthew Lee</cp:lastModifiedBy>
  <cp:revision>2</cp:revision>
  <cp:lastPrinted>2003-11-26T17:21:00Z</cp:lastPrinted>
  <dcterms:created xsi:type="dcterms:W3CDTF">2023-05-07T22:15:00Z</dcterms:created>
  <dcterms:modified xsi:type="dcterms:W3CDTF">2023-05-07T22:15:00Z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23.126.494</vt:lpwstr>
  </property>
</Properties>
</file>