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EB1" w:rsidRDefault="00B00E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1407F6EACE45C8A9034F280007CCFB"/>
          </w:placeholder>
        </w:sdtPr>
        <w:sdtContent>
          <w:r w:rsidRPr="005C2A78">
            <w:rPr>
              <w:rFonts w:cs="Times New Roman"/>
              <w:b/>
              <w:szCs w:val="24"/>
              <w:u w:val="single"/>
            </w:rPr>
            <w:t>BILL ANALYSIS</w:t>
          </w:r>
        </w:sdtContent>
      </w:sdt>
    </w:p>
    <w:p w:rsidR="00B00EB1" w:rsidRPr="00585C31" w:rsidRDefault="00B00EB1" w:rsidP="000F1DF9">
      <w:pPr>
        <w:spacing w:after="0" w:line="240" w:lineRule="auto"/>
        <w:rPr>
          <w:rFonts w:cs="Times New Roman"/>
          <w:szCs w:val="24"/>
        </w:rPr>
      </w:pPr>
    </w:p>
    <w:p w:rsidR="00B00EB1" w:rsidRPr="00585C31" w:rsidRDefault="00B00E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0EB1" w:rsidTr="000F1DF9">
        <w:tc>
          <w:tcPr>
            <w:tcW w:w="2718" w:type="dxa"/>
          </w:tcPr>
          <w:p w:rsidR="00B00EB1" w:rsidRPr="005C2A78" w:rsidRDefault="00B00EB1" w:rsidP="006D756B">
            <w:pPr>
              <w:rPr>
                <w:rFonts w:cs="Times New Roman"/>
                <w:szCs w:val="24"/>
              </w:rPr>
            </w:pPr>
            <w:sdt>
              <w:sdtPr>
                <w:rPr>
                  <w:rFonts w:cs="Times New Roman"/>
                  <w:szCs w:val="24"/>
                </w:rPr>
                <w:alias w:val="Agency Title"/>
                <w:tag w:val="AgencyTitleContentControl"/>
                <w:id w:val="1920747753"/>
                <w:lock w:val="sdtContentLocked"/>
                <w:placeholder>
                  <w:docPart w:val="6882AA988C054BB6BB95095E96034EC6"/>
                </w:placeholder>
              </w:sdtPr>
              <w:sdtEndPr>
                <w:rPr>
                  <w:rFonts w:cstheme="minorBidi"/>
                  <w:szCs w:val="22"/>
                </w:rPr>
              </w:sdtEndPr>
              <w:sdtContent>
                <w:r>
                  <w:rPr>
                    <w:rFonts w:cs="Times New Roman"/>
                    <w:szCs w:val="24"/>
                  </w:rPr>
                  <w:t>Senate Research Center</w:t>
                </w:r>
              </w:sdtContent>
            </w:sdt>
          </w:p>
        </w:tc>
        <w:tc>
          <w:tcPr>
            <w:tcW w:w="6858" w:type="dxa"/>
          </w:tcPr>
          <w:p w:rsidR="00B00EB1" w:rsidRPr="00FF6471" w:rsidRDefault="00B00EB1" w:rsidP="000F1DF9">
            <w:pPr>
              <w:jc w:val="right"/>
              <w:rPr>
                <w:rFonts w:cs="Times New Roman"/>
                <w:szCs w:val="24"/>
              </w:rPr>
            </w:pPr>
            <w:sdt>
              <w:sdtPr>
                <w:rPr>
                  <w:rFonts w:cs="Times New Roman"/>
                  <w:szCs w:val="24"/>
                </w:rPr>
                <w:alias w:val="Bill Number"/>
                <w:tag w:val="BillNumberOne"/>
                <w:id w:val="-410784069"/>
                <w:lock w:val="sdtContentLocked"/>
                <w:placeholder>
                  <w:docPart w:val="B12CB656C79E4A71BAA1D574E54D0902"/>
                </w:placeholder>
              </w:sdtPr>
              <w:sdtContent>
                <w:r>
                  <w:rPr>
                    <w:rFonts w:cs="Times New Roman"/>
                    <w:szCs w:val="24"/>
                  </w:rPr>
                  <w:t>C.S.H.B. 4952</w:t>
                </w:r>
              </w:sdtContent>
            </w:sdt>
          </w:p>
        </w:tc>
      </w:tr>
      <w:tr w:rsidR="00B00EB1" w:rsidTr="000F1DF9">
        <w:sdt>
          <w:sdtPr>
            <w:rPr>
              <w:rFonts w:cs="Times New Roman"/>
              <w:szCs w:val="24"/>
            </w:rPr>
            <w:alias w:val="TLCNumber"/>
            <w:tag w:val="TLCNumber"/>
            <w:id w:val="-542600604"/>
            <w:lock w:val="sdtLocked"/>
            <w:placeholder>
              <w:docPart w:val="4771896AAF2642BBA37C544944CC9736"/>
            </w:placeholder>
          </w:sdtPr>
          <w:sdtContent>
            <w:tc>
              <w:tcPr>
                <w:tcW w:w="2718" w:type="dxa"/>
              </w:tcPr>
              <w:p w:rsidR="00B00EB1" w:rsidRPr="000F1DF9" w:rsidRDefault="00B00EB1" w:rsidP="00C65088">
                <w:pPr>
                  <w:rPr>
                    <w:rFonts w:cs="Times New Roman"/>
                    <w:szCs w:val="24"/>
                  </w:rPr>
                </w:pPr>
                <w:r>
                  <w:rPr>
                    <w:rFonts w:cs="Times New Roman"/>
                    <w:szCs w:val="24"/>
                  </w:rPr>
                  <w:t xml:space="preserve">88R31363 ANG-F </w:t>
                </w:r>
              </w:p>
            </w:tc>
          </w:sdtContent>
        </w:sdt>
        <w:tc>
          <w:tcPr>
            <w:tcW w:w="6858" w:type="dxa"/>
          </w:tcPr>
          <w:p w:rsidR="00B00EB1" w:rsidRPr="005C2A78" w:rsidRDefault="00B00EB1" w:rsidP="00073EDD">
            <w:pPr>
              <w:jc w:val="right"/>
              <w:rPr>
                <w:rFonts w:cs="Times New Roman"/>
                <w:szCs w:val="24"/>
              </w:rPr>
            </w:pPr>
            <w:sdt>
              <w:sdtPr>
                <w:rPr>
                  <w:rFonts w:cs="Times New Roman"/>
                  <w:szCs w:val="24"/>
                </w:rPr>
                <w:alias w:val="Author Label"/>
                <w:tag w:val="By"/>
                <w:id w:val="72399597"/>
                <w:lock w:val="sdtLocked"/>
                <w:placeholder>
                  <w:docPart w:val="97E2C5E4D6F7478583E183573606D1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D50532293D43068BD5B66D5B62E5E5"/>
                </w:placeholder>
              </w:sdtPr>
              <w:sdtContent>
                <w:r>
                  <w:rPr>
                    <w:rFonts w:cs="Times New Roman"/>
                    <w:szCs w:val="24"/>
                  </w:rPr>
                  <w:t>Slawson</w:t>
                </w:r>
              </w:sdtContent>
            </w:sdt>
            <w:sdt>
              <w:sdtPr>
                <w:rPr>
                  <w:rFonts w:cs="Times New Roman"/>
                  <w:szCs w:val="24"/>
                </w:rPr>
                <w:alias w:val="Sponsor"/>
                <w:tag w:val="Sponsor"/>
                <w:id w:val="-2039656131"/>
                <w:lock w:val="sdtContentLocked"/>
                <w:placeholder>
                  <w:docPart w:val="5C4F16E234B845499791FBD06AA9F73B"/>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F02CA0AA371F4E66BE9591BEA183D468"/>
                </w:placeholder>
                <w:showingPlcHdr/>
              </w:sdtPr>
              <w:sdtContent/>
            </w:sdt>
          </w:p>
        </w:tc>
      </w:tr>
      <w:tr w:rsidR="00B00EB1" w:rsidTr="000F1DF9">
        <w:tc>
          <w:tcPr>
            <w:tcW w:w="2718" w:type="dxa"/>
          </w:tcPr>
          <w:p w:rsidR="00B00EB1" w:rsidRPr="00BC7495" w:rsidRDefault="00B00EB1" w:rsidP="000F1DF9">
            <w:pPr>
              <w:rPr>
                <w:rFonts w:cs="Times New Roman"/>
                <w:szCs w:val="24"/>
              </w:rPr>
            </w:pPr>
          </w:p>
        </w:tc>
        <w:sdt>
          <w:sdtPr>
            <w:rPr>
              <w:rFonts w:cs="Times New Roman"/>
              <w:szCs w:val="24"/>
            </w:rPr>
            <w:alias w:val="Committee"/>
            <w:tag w:val="Committee"/>
            <w:id w:val="1914272295"/>
            <w:lock w:val="sdtContentLocked"/>
            <w:placeholder>
              <w:docPart w:val="2C065F4B602843A8B3E6146E8DE4894F"/>
            </w:placeholder>
          </w:sdtPr>
          <w:sdtContent>
            <w:tc>
              <w:tcPr>
                <w:tcW w:w="6858" w:type="dxa"/>
              </w:tcPr>
              <w:p w:rsidR="00B00EB1" w:rsidRPr="00FF6471" w:rsidRDefault="00B00EB1" w:rsidP="000F1DF9">
                <w:pPr>
                  <w:jc w:val="right"/>
                  <w:rPr>
                    <w:rFonts w:cs="Times New Roman"/>
                    <w:szCs w:val="24"/>
                  </w:rPr>
                </w:pPr>
                <w:r>
                  <w:rPr>
                    <w:rFonts w:cs="Times New Roman"/>
                    <w:szCs w:val="24"/>
                  </w:rPr>
                  <w:t>Business &amp; Commerce</w:t>
                </w:r>
              </w:p>
            </w:tc>
          </w:sdtContent>
        </w:sdt>
      </w:tr>
      <w:tr w:rsidR="00B00EB1" w:rsidTr="000F1DF9">
        <w:tc>
          <w:tcPr>
            <w:tcW w:w="2718" w:type="dxa"/>
          </w:tcPr>
          <w:p w:rsidR="00B00EB1" w:rsidRPr="00BC7495" w:rsidRDefault="00B00EB1" w:rsidP="000F1DF9">
            <w:pPr>
              <w:rPr>
                <w:rFonts w:cs="Times New Roman"/>
                <w:szCs w:val="24"/>
              </w:rPr>
            </w:pPr>
          </w:p>
        </w:tc>
        <w:sdt>
          <w:sdtPr>
            <w:rPr>
              <w:rFonts w:cs="Times New Roman"/>
              <w:szCs w:val="24"/>
            </w:rPr>
            <w:alias w:val="Date"/>
            <w:tag w:val="DateContentControl"/>
            <w:id w:val="1178081906"/>
            <w:lock w:val="sdtLocked"/>
            <w:placeholder>
              <w:docPart w:val="98C78355FA714818BE4856D575E46A4B"/>
            </w:placeholder>
            <w:date w:fullDate="2023-05-19T00:00:00Z">
              <w:dateFormat w:val="M/d/yyyy"/>
              <w:lid w:val="en-US"/>
              <w:storeMappedDataAs w:val="dateTime"/>
              <w:calendar w:val="gregorian"/>
            </w:date>
          </w:sdtPr>
          <w:sdtContent>
            <w:tc>
              <w:tcPr>
                <w:tcW w:w="6858" w:type="dxa"/>
              </w:tcPr>
              <w:p w:rsidR="00B00EB1" w:rsidRPr="00FF6471" w:rsidRDefault="00B00EB1" w:rsidP="000F1DF9">
                <w:pPr>
                  <w:jc w:val="right"/>
                  <w:rPr>
                    <w:rFonts w:cs="Times New Roman"/>
                    <w:szCs w:val="24"/>
                  </w:rPr>
                </w:pPr>
                <w:r>
                  <w:rPr>
                    <w:rFonts w:cs="Times New Roman"/>
                    <w:szCs w:val="24"/>
                  </w:rPr>
                  <w:t>5/19/2023</w:t>
                </w:r>
              </w:p>
            </w:tc>
          </w:sdtContent>
        </w:sdt>
      </w:tr>
      <w:tr w:rsidR="00B00EB1" w:rsidTr="000F1DF9">
        <w:tc>
          <w:tcPr>
            <w:tcW w:w="2718" w:type="dxa"/>
          </w:tcPr>
          <w:p w:rsidR="00B00EB1" w:rsidRPr="00BC7495" w:rsidRDefault="00B00EB1" w:rsidP="000F1DF9">
            <w:pPr>
              <w:rPr>
                <w:rFonts w:cs="Times New Roman"/>
                <w:szCs w:val="24"/>
              </w:rPr>
            </w:pPr>
          </w:p>
        </w:tc>
        <w:sdt>
          <w:sdtPr>
            <w:rPr>
              <w:rFonts w:cs="Times New Roman"/>
              <w:szCs w:val="24"/>
            </w:rPr>
            <w:alias w:val="BA Version"/>
            <w:tag w:val="BAVersion"/>
            <w:id w:val="-1685590809"/>
            <w:lock w:val="sdtContentLocked"/>
            <w:placeholder>
              <w:docPart w:val="686893739B8B410A955B4CE87D34C0B0"/>
            </w:placeholder>
          </w:sdtPr>
          <w:sdtContent>
            <w:tc>
              <w:tcPr>
                <w:tcW w:w="6858" w:type="dxa"/>
              </w:tcPr>
              <w:p w:rsidR="00B00EB1" w:rsidRPr="00FF6471" w:rsidRDefault="00B00EB1" w:rsidP="000F1DF9">
                <w:pPr>
                  <w:jc w:val="right"/>
                  <w:rPr>
                    <w:rFonts w:cs="Times New Roman"/>
                    <w:szCs w:val="24"/>
                  </w:rPr>
                </w:pPr>
                <w:r>
                  <w:rPr>
                    <w:rFonts w:cs="Times New Roman"/>
                    <w:szCs w:val="24"/>
                  </w:rPr>
                  <w:t>Committee Report (Substituted)</w:t>
                </w:r>
              </w:p>
            </w:tc>
          </w:sdtContent>
        </w:sdt>
      </w:tr>
    </w:tbl>
    <w:p w:rsidR="00B00EB1" w:rsidRPr="00FF6471" w:rsidRDefault="00B00EB1" w:rsidP="000F1DF9">
      <w:pPr>
        <w:spacing w:after="0" w:line="240" w:lineRule="auto"/>
        <w:rPr>
          <w:rFonts w:cs="Times New Roman"/>
          <w:szCs w:val="24"/>
        </w:rPr>
      </w:pPr>
    </w:p>
    <w:p w:rsidR="00B00EB1" w:rsidRPr="00FF6471" w:rsidRDefault="00B00EB1" w:rsidP="000F1DF9">
      <w:pPr>
        <w:spacing w:after="0" w:line="240" w:lineRule="auto"/>
        <w:rPr>
          <w:rFonts w:cs="Times New Roman"/>
          <w:szCs w:val="24"/>
        </w:rPr>
      </w:pPr>
    </w:p>
    <w:p w:rsidR="00B00EB1" w:rsidRPr="00FF6471" w:rsidRDefault="00B00E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D86F73357346F096DF70CA66931D0A"/>
        </w:placeholder>
      </w:sdtPr>
      <w:sdtContent>
        <w:p w:rsidR="00B00EB1" w:rsidRDefault="00B00E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1396E021344DDD982B17E3AB6B4715"/>
        </w:placeholder>
      </w:sdtPr>
      <w:sdtContent>
        <w:p w:rsidR="00B00EB1" w:rsidRDefault="00B00EB1" w:rsidP="005230D4">
          <w:pPr>
            <w:pStyle w:val="NormalWeb"/>
            <w:spacing w:before="0" w:beforeAutospacing="0" w:after="0" w:afterAutospacing="0"/>
            <w:jc w:val="both"/>
            <w:divId w:val="1276063677"/>
            <w:rPr>
              <w:rFonts w:eastAsia="Times New Roman"/>
              <w:bCs/>
            </w:rPr>
          </w:pPr>
        </w:p>
        <w:p w:rsidR="00B00EB1" w:rsidRPr="005230D4" w:rsidRDefault="00B00EB1" w:rsidP="005230D4">
          <w:pPr>
            <w:pStyle w:val="NormalWeb"/>
            <w:spacing w:before="0" w:beforeAutospacing="0" w:after="0" w:afterAutospacing="0"/>
            <w:jc w:val="both"/>
            <w:divId w:val="1276063677"/>
          </w:pPr>
          <w:r w:rsidRPr="005230D4">
            <w:t>There are ever</w:t>
          </w:r>
          <w:r>
            <w:t>-</w:t>
          </w:r>
          <w:r w:rsidRPr="005230D4">
            <w:t>increasing threats to our electric grid security. As such, the state needs to adequately protect critical transmission substations that ensure power remains flowing through the grid.</w:t>
          </w:r>
        </w:p>
        <w:p w:rsidR="00B00EB1" w:rsidRPr="005230D4" w:rsidRDefault="00B00EB1" w:rsidP="005230D4">
          <w:pPr>
            <w:pStyle w:val="NormalWeb"/>
            <w:spacing w:before="0" w:beforeAutospacing="0" w:after="0" w:afterAutospacing="0"/>
            <w:jc w:val="both"/>
            <w:divId w:val="1276063677"/>
          </w:pPr>
          <w:r w:rsidRPr="005230D4">
            <w:t> </w:t>
          </w:r>
        </w:p>
        <w:p w:rsidR="00B00EB1" w:rsidRPr="005230D4" w:rsidRDefault="00B00EB1" w:rsidP="005230D4">
          <w:pPr>
            <w:pStyle w:val="NormalWeb"/>
            <w:spacing w:before="0" w:beforeAutospacing="0" w:after="0" w:afterAutospacing="0"/>
            <w:jc w:val="both"/>
            <w:divId w:val="1276063677"/>
          </w:pPr>
          <w:r w:rsidRPr="005230D4">
            <w:t>H.B. 4952 seeks to address these security threats by expanding the tabletop exercise to also include a threat of an attack or an actual physical attack on a critical facility. It does not require a transmission and distribution service provider to disclose a list of the critical substations.</w:t>
          </w:r>
        </w:p>
        <w:p w:rsidR="00B00EB1" w:rsidRPr="005230D4" w:rsidRDefault="00B00EB1" w:rsidP="005230D4">
          <w:pPr>
            <w:pStyle w:val="NormalWeb"/>
            <w:spacing w:before="0" w:beforeAutospacing="0" w:after="0" w:afterAutospacing="0"/>
            <w:jc w:val="both"/>
            <w:divId w:val="1276063677"/>
          </w:pPr>
          <w:r w:rsidRPr="005230D4">
            <w:t> </w:t>
          </w:r>
        </w:p>
        <w:p w:rsidR="00B00EB1" w:rsidRPr="005230D4" w:rsidRDefault="00B00EB1" w:rsidP="005230D4">
          <w:pPr>
            <w:pStyle w:val="NormalWeb"/>
            <w:spacing w:before="0" w:beforeAutospacing="0" w:after="0" w:afterAutospacing="0"/>
            <w:jc w:val="both"/>
            <w:divId w:val="1276063677"/>
          </w:pPr>
          <w:r w:rsidRPr="005230D4">
            <w:t>The committee substitute</w:t>
          </w:r>
          <w:r>
            <w:t xml:space="preserve"> to H.B. 4952</w:t>
          </w:r>
          <w:r w:rsidRPr="005230D4">
            <w:t xml:space="preserve"> removes Section 2 of the House engrossed version</w:t>
          </w:r>
          <w:r>
            <w:t>,</w:t>
          </w:r>
          <w:r w:rsidRPr="005230D4">
            <w:t xml:space="preserve"> clarifies the simulated or tabletop exercises already in statute for a winter and a summer month of each year consists of load shedding</w:t>
          </w:r>
          <w:r>
            <w:t xml:space="preserve">, </w:t>
          </w:r>
          <w:r w:rsidRPr="005230D4">
            <w:t>and includes an attestation provision to ensure service providers participating in a simulated or tabletop exercise coordinate with relevant law enforcement.</w:t>
          </w:r>
        </w:p>
        <w:p w:rsidR="00B00EB1" w:rsidRPr="00D70925" w:rsidRDefault="00B00EB1" w:rsidP="005230D4">
          <w:pPr>
            <w:spacing w:after="0" w:line="240" w:lineRule="auto"/>
            <w:jc w:val="both"/>
            <w:rPr>
              <w:rFonts w:eastAsia="Times New Roman" w:cs="Times New Roman"/>
              <w:bCs/>
              <w:szCs w:val="24"/>
            </w:rPr>
          </w:pPr>
        </w:p>
      </w:sdtContent>
    </w:sdt>
    <w:p w:rsidR="00B00EB1" w:rsidRDefault="00B00E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4952 </w:t>
      </w:r>
      <w:bookmarkStart w:id="1" w:name="AmendsCurrentLaw"/>
      <w:bookmarkEnd w:id="1"/>
      <w:r>
        <w:rPr>
          <w:rFonts w:cs="Times New Roman"/>
          <w:szCs w:val="24"/>
        </w:rPr>
        <w:t xml:space="preserve">amends current law </w:t>
      </w:r>
      <w:r w:rsidRPr="005230D4">
        <w:rPr>
          <w:rFonts w:cs="Times New Roman"/>
          <w:szCs w:val="24"/>
        </w:rPr>
        <w:t>relating to the reliability of the electricity supply chain.</w:t>
      </w:r>
    </w:p>
    <w:p w:rsidR="00B00EB1" w:rsidRPr="005230D4" w:rsidRDefault="00B00EB1" w:rsidP="000F1DF9">
      <w:pPr>
        <w:spacing w:after="0" w:line="240" w:lineRule="auto"/>
        <w:jc w:val="both"/>
        <w:rPr>
          <w:rFonts w:eastAsia="Times New Roman" w:cs="Times New Roman"/>
          <w:szCs w:val="24"/>
        </w:rPr>
      </w:pPr>
    </w:p>
    <w:p w:rsidR="00B00EB1" w:rsidRPr="005C2A78" w:rsidRDefault="00B00E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0566FD509344E989819857FDD843A5"/>
          </w:placeholder>
        </w:sdtPr>
        <w:sdtContent>
          <w:r>
            <w:rPr>
              <w:rFonts w:eastAsia="Times New Roman" w:cs="Times New Roman"/>
              <w:b/>
              <w:szCs w:val="24"/>
              <w:u w:val="single"/>
            </w:rPr>
            <w:t>RULEMAKING AUTHORITY</w:t>
          </w:r>
        </w:sdtContent>
      </w:sdt>
    </w:p>
    <w:p w:rsidR="00B00EB1" w:rsidRPr="006529C4" w:rsidRDefault="00B00EB1" w:rsidP="00774EC7">
      <w:pPr>
        <w:spacing w:after="0" w:line="240" w:lineRule="auto"/>
        <w:jc w:val="both"/>
        <w:rPr>
          <w:rFonts w:cs="Times New Roman"/>
          <w:szCs w:val="24"/>
        </w:rPr>
      </w:pPr>
    </w:p>
    <w:p w:rsidR="00B00EB1" w:rsidRPr="006529C4" w:rsidRDefault="00B00E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0EB1" w:rsidRPr="006529C4" w:rsidRDefault="00B00EB1" w:rsidP="00774EC7">
      <w:pPr>
        <w:spacing w:after="0" w:line="240" w:lineRule="auto"/>
        <w:jc w:val="both"/>
        <w:rPr>
          <w:rFonts w:cs="Times New Roman"/>
          <w:szCs w:val="24"/>
        </w:rPr>
      </w:pPr>
    </w:p>
    <w:p w:rsidR="00B00EB1" w:rsidRPr="005C2A78" w:rsidRDefault="00B00EB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418A10E4AB4E59B39884B4A830FB16"/>
          </w:placeholder>
        </w:sdtPr>
        <w:sdtContent>
          <w:r>
            <w:rPr>
              <w:rFonts w:eastAsia="Times New Roman" w:cs="Times New Roman"/>
              <w:b/>
              <w:szCs w:val="24"/>
              <w:u w:val="single"/>
            </w:rPr>
            <w:t>SECTION BY SECTION ANALYSIS</w:t>
          </w:r>
        </w:sdtContent>
      </w:sdt>
    </w:p>
    <w:p w:rsidR="00B00EB1" w:rsidRPr="005C2A78" w:rsidRDefault="00B00EB1" w:rsidP="000A60F0">
      <w:pPr>
        <w:spacing w:after="0" w:line="240" w:lineRule="auto"/>
        <w:jc w:val="both"/>
        <w:rPr>
          <w:rFonts w:eastAsia="Times New Roman" w:cs="Times New Roman"/>
          <w:szCs w:val="24"/>
        </w:rPr>
      </w:pPr>
    </w:p>
    <w:p w:rsidR="00B00EB1" w:rsidRDefault="00B00EB1" w:rsidP="000A60F0">
      <w:pPr>
        <w:spacing w:after="0" w:line="240" w:lineRule="auto"/>
        <w:jc w:val="both"/>
        <w:rPr>
          <w:rFonts w:eastAsia="Times New Roman" w:cs="Times New Roman"/>
          <w:szCs w:val="24"/>
        </w:rPr>
      </w:pPr>
      <w:r w:rsidRPr="00976675">
        <w:rPr>
          <w:rFonts w:eastAsia="Times New Roman" w:cs="Times New Roman"/>
          <w:szCs w:val="24"/>
        </w:rPr>
        <w:t xml:space="preserve">SECTION 1. </w:t>
      </w:r>
      <w:r>
        <w:rPr>
          <w:rFonts w:eastAsia="Times New Roman" w:cs="Times New Roman"/>
          <w:szCs w:val="24"/>
        </w:rPr>
        <w:t xml:space="preserve">Amends </w:t>
      </w:r>
      <w:r w:rsidRPr="00976675">
        <w:rPr>
          <w:rFonts w:eastAsia="Times New Roman" w:cs="Times New Roman"/>
          <w:szCs w:val="24"/>
        </w:rPr>
        <w:t>Section 38.077, Utilities Code, as follows:</w:t>
      </w:r>
    </w:p>
    <w:p w:rsidR="00B00EB1" w:rsidRPr="00976675" w:rsidRDefault="00B00EB1" w:rsidP="000A60F0">
      <w:pPr>
        <w:spacing w:after="0" w:line="240" w:lineRule="auto"/>
        <w:jc w:val="both"/>
        <w:rPr>
          <w:rFonts w:eastAsia="Times New Roman" w:cs="Times New Roman"/>
          <w:szCs w:val="24"/>
        </w:rPr>
      </w:pPr>
    </w:p>
    <w:p w:rsidR="00B00EB1" w:rsidRDefault="00B00EB1" w:rsidP="000A60F0">
      <w:pPr>
        <w:spacing w:after="0" w:line="240" w:lineRule="auto"/>
        <w:ind w:left="720"/>
        <w:jc w:val="both"/>
        <w:rPr>
          <w:rFonts w:eastAsia="Times New Roman" w:cs="Times New Roman"/>
          <w:szCs w:val="24"/>
        </w:rPr>
      </w:pPr>
      <w:r w:rsidRPr="00976675">
        <w:rPr>
          <w:rFonts w:eastAsia="Times New Roman" w:cs="Times New Roman"/>
          <w:szCs w:val="24"/>
        </w:rPr>
        <w:t xml:space="preserve">Sec. 38.077. </w:t>
      </w:r>
      <w:r>
        <w:rPr>
          <w:rFonts w:eastAsia="Times New Roman" w:cs="Times New Roman"/>
          <w:szCs w:val="24"/>
        </w:rPr>
        <w:t xml:space="preserve">New heading: </w:t>
      </w:r>
      <w:r w:rsidRPr="00976675">
        <w:rPr>
          <w:rFonts w:eastAsia="Times New Roman" w:cs="Times New Roman"/>
          <w:szCs w:val="24"/>
        </w:rPr>
        <w:t xml:space="preserve">RELIABILITY EXERCISES. (a) </w:t>
      </w:r>
      <w:r>
        <w:rPr>
          <w:rFonts w:eastAsia="Times New Roman" w:cs="Times New Roman"/>
          <w:szCs w:val="24"/>
        </w:rPr>
        <w:t xml:space="preserve">Defines </w:t>
      </w:r>
      <w:r w:rsidRPr="00976675">
        <w:rPr>
          <w:rFonts w:eastAsia="Times New Roman" w:cs="Times New Roman"/>
          <w:szCs w:val="24"/>
        </w:rPr>
        <w:t>"critical facility</w:t>
      </w:r>
      <w:r>
        <w:rPr>
          <w:rFonts w:eastAsia="Times New Roman" w:cs="Times New Roman"/>
          <w:szCs w:val="24"/>
        </w:rPr>
        <w:t>.</w:t>
      </w:r>
      <w:r w:rsidRPr="00976675">
        <w:rPr>
          <w:rFonts w:eastAsia="Times New Roman" w:cs="Times New Roman"/>
          <w:szCs w:val="24"/>
        </w:rPr>
        <w:t xml:space="preserve">" </w:t>
      </w:r>
    </w:p>
    <w:p w:rsidR="00B00EB1" w:rsidRPr="00976675" w:rsidRDefault="00B00EB1" w:rsidP="000A60F0">
      <w:pPr>
        <w:spacing w:after="0" w:line="240" w:lineRule="auto"/>
        <w:ind w:left="720"/>
        <w:jc w:val="both"/>
        <w:rPr>
          <w:rFonts w:eastAsia="Times New Roman" w:cs="Times New Roman"/>
          <w:szCs w:val="24"/>
        </w:rPr>
      </w:pPr>
    </w:p>
    <w:p w:rsidR="00B00EB1" w:rsidRDefault="00B00EB1" w:rsidP="000A60F0">
      <w:pPr>
        <w:spacing w:after="0" w:line="240" w:lineRule="auto"/>
        <w:ind w:left="1440"/>
        <w:jc w:val="both"/>
        <w:rPr>
          <w:rFonts w:eastAsia="Times New Roman" w:cs="Times New Roman"/>
          <w:szCs w:val="24"/>
        </w:rPr>
      </w:pPr>
      <w:r w:rsidRPr="00976675">
        <w:rPr>
          <w:rFonts w:eastAsia="Times New Roman" w:cs="Times New Roman"/>
          <w:szCs w:val="24"/>
        </w:rPr>
        <w:t>(b)</w:t>
      </w:r>
      <w:r>
        <w:rPr>
          <w:rFonts w:eastAsia="Times New Roman" w:cs="Times New Roman"/>
          <w:szCs w:val="24"/>
        </w:rPr>
        <w:t xml:space="preserve"> Requires the Public Utility Commission of Texas (PUC) and the </w:t>
      </w:r>
      <w:r w:rsidRPr="00976675">
        <w:rPr>
          <w:rFonts w:eastAsia="Times New Roman" w:cs="Times New Roman"/>
          <w:szCs w:val="24"/>
        </w:rPr>
        <w:t>independent organization certified for the E</w:t>
      </w:r>
      <w:r>
        <w:rPr>
          <w:rFonts w:eastAsia="Times New Roman" w:cs="Times New Roman"/>
          <w:szCs w:val="24"/>
        </w:rPr>
        <w:t xml:space="preserve">lectric Reliability Council of Texas (ERCOT) </w:t>
      </w:r>
      <w:r w:rsidRPr="00976675">
        <w:rPr>
          <w:rFonts w:eastAsia="Times New Roman" w:cs="Times New Roman"/>
          <w:szCs w:val="24"/>
        </w:rPr>
        <w:t xml:space="preserve">power region </w:t>
      </w:r>
      <w:r>
        <w:rPr>
          <w:rFonts w:eastAsia="Times New Roman" w:cs="Times New Roman"/>
          <w:szCs w:val="24"/>
        </w:rPr>
        <w:t>(independent organization) under Section 39.151 (Essential Organizations) to conduct certain exercises. Requires the PUC to ensure that each year at least one simulated or tabletop load shedding exercise is conducted during a summer month and one simulated or tabletop load shedding exercise is conducted during a winter month.</w:t>
      </w:r>
    </w:p>
    <w:p w:rsidR="00B00EB1" w:rsidRPr="00976675" w:rsidRDefault="00B00EB1" w:rsidP="000A60F0">
      <w:pPr>
        <w:spacing w:after="0" w:line="240" w:lineRule="auto"/>
        <w:ind w:left="1440"/>
        <w:jc w:val="both"/>
        <w:rPr>
          <w:rFonts w:eastAsia="Times New Roman" w:cs="Times New Roman"/>
          <w:szCs w:val="24"/>
        </w:rPr>
      </w:pPr>
    </w:p>
    <w:p w:rsidR="00B00EB1" w:rsidRDefault="00B00EB1" w:rsidP="000A60F0">
      <w:pPr>
        <w:spacing w:after="0" w:line="240" w:lineRule="auto"/>
        <w:ind w:left="1440"/>
        <w:jc w:val="both"/>
        <w:rPr>
          <w:rFonts w:eastAsia="Times New Roman" w:cs="Times New Roman"/>
          <w:szCs w:val="24"/>
        </w:rPr>
      </w:pPr>
      <w:r w:rsidRPr="00976675">
        <w:rPr>
          <w:rFonts w:eastAsia="Times New Roman" w:cs="Times New Roman"/>
          <w:szCs w:val="24"/>
        </w:rPr>
        <w:t>(c)</w:t>
      </w:r>
      <w:r>
        <w:rPr>
          <w:rFonts w:eastAsia="Times New Roman" w:cs="Times New Roman"/>
          <w:szCs w:val="24"/>
        </w:rPr>
        <w:t xml:space="preserve"> Requires the PUC </w:t>
      </w:r>
      <w:r w:rsidRPr="00976675">
        <w:rPr>
          <w:rFonts w:eastAsia="Times New Roman" w:cs="Times New Roman"/>
          <w:szCs w:val="24"/>
        </w:rPr>
        <w:t>and the independent organization</w:t>
      </w:r>
      <w:r>
        <w:rPr>
          <w:rFonts w:eastAsia="Times New Roman" w:cs="Times New Roman"/>
          <w:szCs w:val="24"/>
        </w:rPr>
        <w:t xml:space="preserve"> to</w:t>
      </w:r>
      <w:r w:rsidRPr="00976675">
        <w:rPr>
          <w:rFonts w:eastAsia="Times New Roman" w:cs="Times New Roman"/>
          <w:szCs w:val="24"/>
        </w:rPr>
        <w:t xml:space="preserve"> conduct simulated or tabletop exercises with providers of electric generation service and transmission and distribution service in the ERCOT power region to mitigate and prepare for a threat of an attack or an actual physical attack on a critical facility. </w:t>
      </w:r>
      <w:r>
        <w:rPr>
          <w:rFonts w:eastAsia="Times New Roman" w:cs="Times New Roman"/>
          <w:szCs w:val="24"/>
        </w:rPr>
        <w:t>Provides that t</w:t>
      </w:r>
      <w:r w:rsidRPr="00976675">
        <w:rPr>
          <w:rFonts w:eastAsia="Times New Roman" w:cs="Times New Roman"/>
          <w:szCs w:val="24"/>
        </w:rPr>
        <w:t xml:space="preserve">he exercises required by this subsection are in addition to the exercises required by Subsection (b) </w:t>
      </w:r>
      <w:r>
        <w:rPr>
          <w:rFonts w:eastAsia="Times New Roman" w:cs="Times New Roman"/>
          <w:szCs w:val="24"/>
        </w:rPr>
        <w:t xml:space="preserve">(relating to requiring the PUC and the independent organization to conduct certain exercises) </w:t>
      </w:r>
      <w:r w:rsidRPr="00976675">
        <w:rPr>
          <w:rFonts w:eastAsia="Times New Roman" w:cs="Times New Roman"/>
          <w:szCs w:val="24"/>
        </w:rPr>
        <w:t>and any requirements of the North American Electric Reliability Corporation Critical Infrastructure Protection plan standards.</w:t>
      </w:r>
      <w:r>
        <w:rPr>
          <w:rFonts w:eastAsia="Times New Roman" w:cs="Times New Roman"/>
          <w:szCs w:val="24"/>
        </w:rPr>
        <w:t xml:space="preserve"> Requires the PUC and </w:t>
      </w:r>
      <w:r w:rsidRPr="00976675">
        <w:rPr>
          <w:rFonts w:eastAsia="Times New Roman" w:cs="Times New Roman"/>
          <w:szCs w:val="24"/>
        </w:rPr>
        <w:t xml:space="preserve">the independent organization </w:t>
      </w:r>
      <w:r>
        <w:rPr>
          <w:rFonts w:eastAsia="Times New Roman" w:cs="Times New Roman"/>
          <w:szCs w:val="24"/>
        </w:rPr>
        <w:t>to</w:t>
      </w:r>
      <w:r w:rsidRPr="00976675">
        <w:rPr>
          <w:rFonts w:eastAsia="Times New Roman" w:cs="Times New Roman"/>
          <w:szCs w:val="24"/>
        </w:rPr>
        <w:t xml:space="preserve"> conduct the exercises under this subsection at least once every two years.</w:t>
      </w:r>
    </w:p>
    <w:p w:rsidR="00B00EB1" w:rsidRPr="00976675" w:rsidRDefault="00B00EB1" w:rsidP="000A60F0">
      <w:pPr>
        <w:spacing w:after="0" w:line="240" w:lineRule="auto"/>
        <w:ind w:left="1440"/>
        <w:jc w:val="both"/>
        <w:rPr>
          <w:rFonts w:eastAsia="Times New Roman" w:cs="Times New Roman"/>
          <w:szCs w:val="24"/>
        </w:rPr>
      </w:pPr>
    </w:p>
    <w:p w:rsidR="00B00EB1" w:rsidRPr="00976675" w:rsidRDefault="00B00EB1" w:rsidP="000A60F0">
      <w:pPr>
        <w:spacing w:after="0" w:line="240" w:lineRule="auto"/>
        <w:ind w:left="1440"/>
        <w:jc w:val="both"/>
        <w:rPr>
          <w:rFonts w:eastAsia="Times New Roman" w:cs="Times New Roman"/>
          <w:szCs w:val="24"/>
        </w:rPr>
      </w:pPr>
      <w:r w:rsidRPr="00976675">
        <w:rPr>
          <w:rFonts w:eastAsia="Times New Roman" w:cs="Times New Roman"/>
          <w:szCs w:val="24"/>
        </w:rPr>
        <w:t>(d)</w:t>
      </w:r>
      <w:r>
        <w:rPr>
          <w:rFonts w:eastAsia="Times New Roman" w:cs="Times New Roman"/>
          <w:szCs w:val="24"/>
        </w:rPr>
        <w:t xml:space="preserve"> Requires that a</w:t>
      </w:r>
      <w:r w:rsidRPr="00976675">
        <w:rPr>
          <w:rFonts w:eastAsia="Times New Roman" w:cs="Times New Roman"/>
          <w:szCs w:val="24"/>
        </w:rPr>
        <w:t xml:space="preserve"> simulated or tabletop load shedding exercise conducted under Subsection (c) identify the roles and responsibilities of the following in the event of a threat of an attack or an actual physical attack on a critical facility:</w:t>
      </w:r>
    </w:p>
    <w:p w:rsidR="00B00EB1" w:rsidRDefault="00B00EB1" w:rsidP="000A60F0">
      <w:pPr>
        <w:spacing w:after="0" w:line="240" w:lineRule="auto"/>
        <w:ind w:left="2160"/>
        <w:jc w:val="both"/>
        <w:rPr>
          <w:rFonts w:eastAsia="Times New Roman" w:cs="Times New Roman"/>
          <w:szCs w:val="24"/>
        </w:rPr>
      </w:pPr>
    </w:p>
    <w:p w:rsidR="00B00EB1" w:rsidRPr="00976675" w:rsidRDefault="00B00EB1" w:rsidP="000A60F0">
      <w:pPr>
        <w:spacing w:after="0" w:line="240" w:lineRule="auto"/>
        <w:ind w:left="2160"/>
        <w:jc w:val="both"/>
        <w:rPr>
          <w:rFonts w:eastAsia="Times New Roman" w:cs="Times New Roman"/>
          <w:szCs w:val="24"/>
        </w:rPr>
      </w:pPr>
      <w:r w:rsidRPr="00976675">
        <w:rPr>
          <w:rFonts w:eastAsia="Times New Roman" w:cs="Times New Roman"/>
          <w:szCs w:val="24"/>
        </w:rPr>
        <w:t>(1) transmission and distribution service providers;</w:t>
      </w:r>
    </w:p>
    <w:p w:rsidR="00B00EB1" w:rsidRDefault="00B00EB1" w:rsidP="000A60F0">
      <w:pPr>
        <w:spacing w:after="0" w:line="240" w:lineRule="auto"/>
        <w:ind w:left="2160"/>
        <w:jc w:val="both"/>
        <w:rPr>
          <w:rFonts w:eastAsia="Times New Roman" w:cs="Times New Roman"/>
          <w:szCs w:val="24"/>
        </w:rPr>
      </w:pPr>
    </w:p>
    <w:p w:rsidR="00B00EB1" w:rsidRDefault="00B00EB1" w:rsidP="000A60F0">
      <w:pPr>
        <w:spacing w:after="0" w:line="240" w:lineRule="auto"/>
        <w:ind w:left="2160"/>
        <w:jc w:val="both"/>
        <w:rPr>
          <w:rFonts w:eastAsia="Times New Roman" w:cs="Times New Roman"/>
          <w:szCs w:val="24"/>
        </w:rPr>
      </w:pPr>
      <w:r w:rsidRPr="00976675">
        <w:rPr>
          <w:rFonts w:eastAsia="Times New Roman" w:cs="Times New Roman"/>
          <w:szCs w:val="24"/>
        </w:rPr>
        <w:t xml:space="preserve">(2) </w:t>
      </w:r>
      <w:r>
        <w:rPr>
          <w:rFonts w:eastAsia="Times New Roman" w:cs="Times New Roman"/>
          <w:szCs w:val="24"/>
        </w:rPr>
        <w:t>providers of electric generation services;</w:t>
      </w:r>
    </w:p>
    <w:p w:rsidR="00B00EB1" w:rsidRDefault="00B00EB1" w:rsidP="000A60F0">
      <w:pPr>
        <w:spacing w:after="0" w:line="240" w:lineRule="auto"/>
        <w:ind w:left="2160"/>
        <w:jc w:val="both"/>
        <w:rPr>
          <w:rFonts w:eastAsia="Times New Roman" w:cs="Times New Roman"/>
          <w:szCs w:val="24"/>
        </w:rPr>
      </w:pPr>
    </w:p>
    <w:p w:rsidR="00B00EB1" w:rsidRPr="00976675" w:rsidRDefault="00B00EB1" w:rsidP="000A60F0">
      <w:pPr>
        <w:spacing w:after="0" w:line="240" w:lineRule="auto"/>
        <w:ind w:left="2160"/>
        <w:jc w:val="both"/>
        <w:rPr>
          <w:rFonts w:eastAsia="Times New Roman" w:cs="Times New Roman"/>
          <w:szCs w:val="24"/>
        </w:rPr>
      </w:pPr>
      <w:r>
        <w:rPr>
          <w:rFonts w:eastAsia="Times New Roman" w:cs="Times New Roman"/>
          <w:szCs w:val="24"/>
        </w:rPr>
        <w:t xml:space="preserve">(3) </w:t>
      </w:r>
      <w:r w:rsidRPr="00976675">
        <w:rPr>
          <w:rFonts w:eastAsia="Times New Roman" w:cs="Times New Roman"/>
          <w:szCs w:val="24"/>
        </w:rPr>
        <w:t>law enforcement;</w:t>
      </w:r>
    </w:p>
    <w:p w:rsidR="00B00EB1" w:rsidRDefault="00B00EB1" w:rsidP="000A60F0">
      <w:pPr>
        <w:spacing w:after="0" w:line="240" w:lineRule="auto"/>
        <w:ind w:left="2160"/>
        <w:jc w:val="both"/>
        <w:rPr>
          <w:rFonts w:eastAsia="Times New Roman" w:cs="Times New Roman"/>
          <w:szCs w:val="24"/>
        </w:rPr>
      </w:pPr>
    </w:p>
    <w:p w:rsidR="00B00EB1" w:rsidRPr="00976675" w:rsidRDefault="00B00EB1" w:rsidP="000A60F0">
      <w:pPr>
        <w:spacing w:after="0" w:line="240" w:lineRule="auto"/>
        <w:ind w:left="2160"/>
        <w:jc w:val="both"/>
        <w:rPr>
          <w:rFonts w:eastAsia="Times New Roman" w:cs="Times New Roman"/>
          <w:szCs w:val="24"/>
        </w:rPr>
      </w:pPr>
      <w:r w:rsidRPr="00976675">
        <w:rPr>
          <w:rFonts w:eastAsia="Times New Roman" w:cs="Times New Roman"/>
          <w:szCs w:val="24"/>
        </w:rPr>
        <w:t>(</w:t>
      </w:r>
      <w:r>
        <w:rPr>
          <w:rFonts w:eastAsia="Times New Roman" w:cs="Times New Roman"/>
          <w:szCs w:val="24"/>
        </w:rPr>
        <w:t>4</w:t>
      </w:r>
      <w:r w:rsidRPr="00976675">
        <w:rPr>
          <w:rFonts w:eastAsia="Times New Roman" w:cs="Times New Roman"/>
          <w:szCs w:val="24"/>
        </w:rPr>
        <w:t>) the independent organization; and</w:t>
      </w:r>
    </w:p>
    <w:p w:rsidR="00B00EB1" w:rsidRDefault="00B00EB1" w:rsidP="000A60F0">
      <w:pPr>
        <w:spacing w:after="0" w:line="240" w:lineRule="auto"/>
        <w:ind w:left="2160"/>
        <w:jc w:val="both"/>
        <w:rPr>
          <w:rFonts w:eastAsia="Times New Roman" w:cs="Times New Roman"/>
          <w:szCs w:val="24"/>
        </w:rPr>
      </w:pPr>
    </w:p>
    <w:p w:rsidR="00B00EB1" w:rsidRPr="00976675" w:rsidRDefault="00B00EB1" w:rsidP="000A60F0">
      <w:pPr>
        <w:spacing w:after="0" w:line="240" w:lineRule="auto"/>
        <w:ind w:left="2160"/>
        <w:jc w:val="both"/>
        <w:rPr>
          <w:rFonts w:eastAsia="Times New Roman" w:cs="Times New Roman"/>
          <w:szCs w:val="24"/>
        </w:rPr>
      </w:pPr>
      <w:r w:rsidRPr="00976675">
        <w:rPr>
          <w:rFonts w:eastAsia="Times New Roman" w:cs="Times New Roman"/>
          <w:szCs w:val="24"/>
        </w:rPr>
        <w:t>(</w:t>
      </w:r>
      <w:r>
        <w:rPr>
          <w:rFonts w:eastAsia="Times New Roman" w:cs="Times New Roman"/>
          <w:szCs w:val="24"/>
        </w:rPr>
        <w:t>5</w:t>
      </w:r>
      <w:r w:rsidRPr="00976675">
        <w:rPr>
          <w:rFonts w:eastAsia="Times New Roman" w:cs="Times New Roman"/>
          <w:szCs w:val="24"/>
        </w:rPr>
        <w:t xml:space="preserve">) the </w:t>
      </w:r>
      <w:r>
        <w:rPr>
          <w:rFonts w:eastAsia="Times New Roman" w:cs="Times New Roman"/>
          <w:szCs w:val="24"/>
        </w:rPr>
        <w:t>PUC</w:t>
      </w:r>
      <w:r w:rsidRPr="00976675">
        <w:rPr>
          <w:rFonts w:eastAsia="Times New Roman" w:cs="Times New Roman"/>
          <w:szCs w:val="24"/>
        </w:rPr>
        <w:t>.</w:t>
      </w:r>
    </w:p>
    <w:p w:rsidR="00B00EB1" w:rsidRDefault="00B00EB1" w:rsidP="000A60F0">
      <w:pPr>
        <w:spacing w:after="0" w:line="240" w:lineRule="auto"/>
        <w:ind w:left="1440"/>
        <w:jc w:val="both"/>
        <w:rPr>
          <w:rFonts w:eastAsia="Times New Roman" w:cs="Times New Roman"/>
          <w:szCs w:val="24"/>
        </w:rPr>
      </w:pPr>
    </w:p>
    <w:p w:rsidR="00B00EB1" w:rsidRDefault="00B00EB1" w:rsidP="000A60F0">
      <w:pPr>
        <w:spacing w:after="0" w:line="240" w:lineRule="auto"/>
        <w:ind w:left="1440"/>
        <w:jc w:val="both"/>
        <w:rPr>
          <w:rFonts w:eastAsia="Times New Roman" w:cs="Times New Roman"/>
          <w:szCs w:val="24"/>
        </w:rPr>
      </w:pPr>
      <w:r w:rsidRPr="00976675">
        <w:rPr>
          <w:rFonts w:eastAsia="Times New Roman" w:cs="Times New Roman"/>
          <w:szCs w:val="24"/>
        </w:rPr>
        <w:t xml:space="preserve">(e) </w:t>
      </w:r>
      <w:r>
        <w:rPr>
          <w:rFonts w:eastAsia="Times New Roman" w:cs="Times New Roman"/>
          <w:szCs w:val="24"/>
        </w:rPr>
        <w:t>Provides that a</w:t>
      </w:r>
      <w:r w:rsidRPr="00976675">
        <w:rPr>
          <w:rFonts w:eastAsia="Times New Roman" w:cs="Times New Roman"/>
          <w:szCs w:val="24"/>
        </w:rPr>
        <w:t xml:space="preserve"> transmission and distribution service provider is not required to disclose the specific location of the provider's critical substations to the </w:t>
      </w:r>
      <w:r>
        <w:rPr>
          <w:rFonts w:eastAsia="Times New Roman" w:cs="Times New Roman"/>
          <w:szCs w:val="24"/>
        </w:rPr>
        <w:t>PUC</w:t>
      </w:r>
      <w:r w:rsidRPr="00976675">
        <w:rPr>
          <w:rFonts w:eastAsia="Times New Roman" w:cs="Times New Roman"/>
          <w:szCs w:val="24"/>
        </w:rPr>
        <w:t xml:space="preserve"> or the independent organization for the purposes of a simulated or tabletop </w:t>
      </w:r>
      <w:r>
        <w:rPr>
          <w:rFonts w:eastAsia="Times New Roman" w:cs="Times New Roman"/>
          <w:szCs w:val="24"/>
        </w:rPr>
        <w:t xml:space="preserve">exercise </w:t>
      </w:r>
      <w:r w:rsidRPr="00976675">
        <w:rPr>
          <w:rFonts w:eastAsia="Times New Roman" w:cs="Times New Roman"/>
          <w:szCs w:val="24"/>
        </w:rPr>
        <w:t>conducted under Subsection (c).</w:t>
      </w:r>
    </w:p>
    <w:p w:rsidR="00B00EB1" w:rsidRDefault="00B00EB1" w:rsidP="000A60F0">
      <w:pPr>
        <w:spacing w:after="0" w:line="240" w:lineRule="auto"/>
        <w:ind w:left="1440"/>
        <w:jc w:val="both"/>
        <w:rPr>
          <w:rFonts w:eastAsia="Times New Roman" w:cs="Times New Roman"/>
          <w:szCs w:val="24"/>
        </w:rPr>
      </w:pPr>
    </w:p>
    <w:p w:rsidR="00B00EB1" w:rsidRPr="00976675" w:rsidRDefault="00B00EB1" w:rsidP="000A60F0">
      <w:pPr>
        <w:spacing w:after="0" w:line="240" w:lineRule="auto"/>
        <w:ind w:left="1440"/>
        <w:jc w:val="both"/>
        <w:rPr>
          <w:rFonts w:eastAsia="Times New Roman" w:cs="Times New Roman"/>
          <w:szCs w:val="24"/>
        </w:rPr>
      </w:pPr>
      <w:r w:rsidRPr="005230D4">
        <w:rPr>
          <w:rFonts w:eastAsia="Times New Roman" w:cs="Times New Roman"/>
          <w:szCs w:val="24"/>
        </w:rPr>
        <w:t xml:space="preserve">(f) </w:t>
      </w:r>
      <w:r>
        <w:rPr>
          <w:rFonts w:eastAsia="Times New Roman" w:cs="Times New Roman"/>
          <w:szCs w:val="24"/>
        </w:rPr>
        <w:t>Requires e</w:t>
      </w:r>
      <w:r w:rsidRPr="005230D4">
        <w:rPr>
          <w:rFonts w:eastAsia="Times New Roman" w:cs="Times New Roman"/>
          <w:szCs w:val="24"/>
        </w:rPr>
        <w:t xml:space="preserve">ach provider of electric generation service and of transmission and distribution service that participates in a simulated or tabletop exercise conducted under Subsection (c) </w:t>
      </w:r>
      <w:r>
        <w:rPr>
          <w:rFonts w:eastAsia="Times New Roman" w:cs="Times New Roman"/>
          <w:szCs w:val="24"/>
        </w:rPr>
        <w:t>to</w:t>
      </w:r>
      <w:r w:rsidRPr="005230D4">
        <w:rPr>
          <w:rFonts w:eastAsia="Times New Roman" w:cs="Times New Roman"/>
          <w:szCs w:val="24"/>
        </w:rPr>
        <w:t xml:space="preserve"> provide to the independent organization a written attestation that the provider has coordinated with law enforcement when identifying roles and responsibilities under Subsection (d).</w:t>
      </w:r>
    </w:p>
    <w:p w:rsidR="00B00EB1" w:rsidRDefault="00B00EB1" w:rsidP="000A60F0">
      <w:pPr>
        <w:spacing w:after="0" w:line="240" w:lineRule="auto"/>
        <w:ind w:left="720"/>
        <w:jc w:val="both"/>
        <w:rPr>
          <w:rFonts w:eastAsia="Times New Roman" w:cs="Times New Roman"/>
          <w:szCs w:val="24"/>
        </w:rPr>
      </w:pPr>
    </w:p>
    <w:p w:rsidR="00B00EB1" w:rsidRPr="00976675" w:rsidRDefault="00B00EB1" w:rsidP="000A60F0">
      <w:pPr>
        <w:spacing w:after="0" w:line="240" w:lineRule="auto"/>
        <w:jc w:val="both"/>
        <w:rPr>
          <w:rFonts w:eastAsia="Times New Roman" w:cs="Times New Roman"/>
          <w:szCs w:val="24"/>
        </w:rPr>
      </w:pPr>
      <w:r w:rsidRPr="00976675">
        <w:rPr>
          <w:rFonts w:eastAsia="Times New Roman" w:cs="Times New Roman"/>
          <w:szCs w:val="24"/>
        </w:rPr>
        <w:t xml:space="preserve">SECTION 2. </w:t>
      </w:r>
      <w:r>
        <w:rPr>
          <w:rFonts w:eastAsia="Times New Roman" w:cs="Times New Roman"/>
          <w:szCs w:val="24"/>
        </w:rPr>
        <w:t xml:space="preserve">Requires the PUC and the </w:t>
      </w:r>
      <w:r w:rsidRPr="00976675">
        <w:rPr>
          <w:rFonts w:eastAsia="Times New Roman" w:cs="Times New Roman"/>
          <w:szCs w:val="24"/>
        </w:rPr>
        <w:t>independent organization</w:t>
      </w:r>
      <w:r>
        <w:rPr>
          <w:rFonts w:eastAsia="Times New Roman" w:cs="Times New Roman"/>
          <w:szCs w:val="24"/>
        </w:rPr>
        <w:t>, n</w:t>
      </w:r>
      <w:r w:rsidRPr="00976675">
        <w:rPr>
          <w:rFonts w:eastAsia="Times New Roman" w:cs="Times New Roman"/>
          <w:szCs w:val="24"/>
        </w:rPr>
        <w:t>ot later than December 31, 2024</w:t>
      </w:r>
      <w:r>
        <w:rPr>
          <w:rFonts w:eastAsia="Times New Roman" w:cs="Times New Roman"/>
          <w:szCs w:val="24"/>
        </w:rPr>
        <w:t xml:space="preserve">, to </w:t>
      </w:r>
      <w:r w:rsidRPr="00976675">
        <w:rPr>
          <w:rFonts w:eastAsia="Times New Roman" w:cs="Times New Roman"/>
          <w:szCs w:val="24"/>
        </w:rPr>
        <w:t>conduct a simulated or tabletop exercise with each provider of electric generation service and of transmission and distribution service as required by Section 38.077(c), Utilities Code, as added by this Act.</w:t>
      </w:r>
    </w:p>
    <w:p w:rsidR="00B00EB1" w:rsidRDefault="00B00EB1" w:rsidP="000A60F0">
      <w:pPr>
        <w:spacing w:after="0" w:line="240" w:lineRule="auto"/>
        <w:jc w:val="both"/>
        <w:rPr>
          <w:rFonts w:eastAsia="Times New Roman" w:cs="Times New Roman"/>
          <w:szCs w:val="24"/>
        </w:rPr>
      </w:pPr>
    </w:p>
    <w:p w:rsidR="00B00EB1" w:rsidRPr="00C8671F" w:rsidRDefault="00B00EB1" w:rsidP="000A60F0">
      <w:pPr>
        <w:spacing w:after="0" w:line="240" w:lineRule="auto"/>
        <w:jc w:val="both"/>
        <w:rPr>
          <w:rFonts w:eastAsia="Times New Roman" w:cs="Times New Roman"/>
          <w:szCs w:val="24"/>
        </w:rPr>
      </w:pPr>
      <w:r w:rsidRPr="00976675">
        <w:rPr>
          <w:rFonts w:eastAsia="Times New Roman" w:cs="Times New Roman"/>
          <w:szCs w:val="24"/>
        </w:rPr>
        <w:t xml:space="preserve">SECTION 4. </w:t>
      </w:r>
      <w:r>
        <w:rPr>
          <w:rFonts w:eastAsia="Times New Roman" w:cs="Times New Roman"/>
          <w:szCs w:val="24"/>
        </w:rPr>
        <w:t xml:space="preserve">Effective date: upon passage or </w:t>
      </w:r>
      <w:r w:rsidRPr="00976675">
        <w:rPr>
          <w:rFonts w:eastAsia="Times New Roman" w:cs="Times New Roman"/>
          <w:szCs w:val="24"/>
        </w:rPr>
        <w:t>September 1, 2023.</w:t>
      </w:r>
    </w:p>
    <w:p w:rsidR="00B00EB1" w:rsidRPr="00C8671F" w:rsidRDefault="00B00EB1" w:rsidP="000A60F0">
      <w:pPr>
        <w:spacing w:after="0" w:line="240" w:lineRule="auto"/>
        <w:jc w:val="both"/>
        <w:rPr>
          <w:rFonts w:eastAsia="Times New Roman" w:cs="Times New Roman"/>
          <w:szCs w:val="24"/>
        </w:rPr>
      </w:pPr>
    </w:p>
    <w:sectPr w:rsidR="00B00E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FF3" w:rsidRDefault="00E66FF3" w:rsidP="000F1DF9">
      <w:pPr>
        <w:spacing w:after="0" w:line="240" w:lineRule="auto"/>
      </w:pPr>
      <w:r>
        <w:separator/>
      </w:r>
    </w:p>
  </w:endnote>
  <w:endnote w:type="continuationSeparator" w:id="0">
    <w:p w:rsidR="00E66FF3" w:rsidRDefault="00E66F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6F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0EB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0EB1">
                <w:rPr>
                  <w:sz w:val="20"/>
                  <w:szCs w:val="20"/>
                </w:rPr>
                <w:t>C.S.H.B. 4952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0E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6F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FF3" w:rsidRDefault="00E66FF3" w:rsidP="000F1DF9">
      <w:pPr>
        <w:spacing w:after="0" w:line="240" w:lineRule="auto"/>
      </w:pPr>
      <w:r>
        <w:separator/>
      </w:r>
    </w:p>
  </w:footnote>
  <w:footnote w:type="continuationSeparator" w:id="0">
    <w:p w:rsidR="00E66FF3" w:rsidRDefault="00E66F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0EB1"/>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6FF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76CDE"/>
  <w15:docId w15:val="{D86B7B05-35C6-4A93-8259-23A33290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0E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1407F6EACE45C8A9034F280007CCFB"/>
        <w:category>
          <w:name w:val="General"/>
          <w:gallery w:val="placeholder"/>
        </w:category>
        <w:types>
          <w:type w:val="bbPlcHdr"/>
        </w:types>
        <w:behaviors>
          <w:behavior w:val="content"/>
        </w:behaviors>
        <w:guid w:val="{A6CE8859-27E3-4939-85AA-AC08BD964EF1}"/>
      </w:docPartPr>
      <w:docPartBody>
        <w:p w:rsidR="00000000" w:rsidRDefault="006C56F4"/>
      </w:docPartBody>
    </w:docPart>
    <w:docPart>
      <w:docPartPr>
        <w:name w:val="6882AA988C054BB6BB95095E96034EC6"/>
        <w:category>
          <w:name w:val="General"/>
          <w:gallery w:val="placeholder"/>
        </w:category>
        <w:types>
          <w:type w:val="bbPlcHdr"/>
        </w:types>
        <w:behaviors>
          <w:behavior w:val="content"/>
        </w:behaviors>
        <w:guid w:val="{6065BE86-DE45-47A7-86E0-AE86E356B53D}"/>
      </w:docPartPr>
      <w:docPartBody>
        <w:p w:rsidR="00000000" w:rsidRDefault="006C56F4"/>
      </w:docPartBody>
    </w:docPart>
    <w:docPart>
      <w:docPartPr>
        <w:name w:val="B12CB656C79E4A71BAA1D574E54D0902"/>
        <w:category>
          <w:name w:val="General"/>
          <w:gallery w:val="placeholder"/>
        </w:category>
        <w:types>
          <w:type w:val="bbPlcHdr"/>
        </w:types>
        <w:behaviors>
          <w:behavior w:val="content"/>
        </w:behaviors>
        <w:guid w:val="{7351E93D-0749-499C-9135-7F2D55150F56}"/>
      </w:docPartPr>
      <w:docPartBody>
        <w:p w:rsidR="00000000" w:rsidRDefault="006C56F4"/>
      </w:docPartBody>
    </w:docPart>
    <w:docPart>
      <w:docPartPr>
        <w:name w:val="4771896AAF2642BBA37C544944CC9736"/>
        <w:category>
          <w:name w:val="General"/>
          <w:gallery w:val="placeholder"/>
        </w:category>
        <w:types>
          <w:type w:val="bbPlcHdr"/>
        </w:types>
        <w:behaviors>
          <w:behavior w:val="content"/>
        </w:behaviors>
        <w:guid w:val="{706A513E-89E4-49F7-9A43-E948EE21ACC2}"/>
      </w:docPartPr>
      <w:docPartBody>
        <w:p w:rsidR="00000000" w:rsidRDefault="006C56F4"/>
      </w:docPartBody>
    </w:docPart>
    <w:docPart>
      <w:docPartPr>
        <w:name w:val="97E2C5E4D6F7478583E183573606D174"/>
        <w:category>
          <w:name w:val="General"/>
          <w:gallery w:val="placeholder"/>
        </w:category>
        <w:types>
          <w:type w:val="bbPlcHdr"/>
        </w:types>
        <w:behaviors>
          <w:behavior w:val="content"/>
        </w:behaviors>
        <w:guid w:val="{4C28554F-A7B9-4D2B-A458-2B3C1F1EBCC2}"/>
      </w:docPartPr>
      <w:docPartBody>
        <w:p w:rsidR="00000000" w:rsidRDefault="006C56F4"/>
      </w:docPartBody>
    </w:docPart>
    <w:docPart>
      <w:docPartPr>
        <w:name w:val="58D50532293D43068BD5B66D5B62E5E5"/>
        <w:category>
          <w:name w:val="General"/>
          <w:gallery w:val="placeholder"/>
        </w:category>
        <w:types>
          <w:type w:val="bbPlcHdr"/>
        </w:types>
        <w:behaviors>
          <w:behavior w:val="content"/>
        </w:behaviors>
        <w:guid w:val="{65552709-55F3-40FA-93C3-701BE5174D7E}"/>
      </w:docPartPr>
      <w:docPartBody>
        <w:p w:rsidR="00000000" w:rsidRDefault="006C56F4"/>
      </w:docPartBody>
    </w:docPart>
    <w:docPart>
      <w:docPartPr>
        <w:name w:val="5C4F16E234B845499791FBD06AA9F73B"/>
        <w:category>
          <w:name w:val="General"/>
          <w:gallery w:val="placeholder"/>
        </w:category>
        <w:types>
          <w:type w:val="bbPlcHdr"/>
        </w:types>
        <w:behaviors>
          <w:behavior w:val="content"/>
        </w:behaviors>
        <w:guid w:val="{38A0EC97-84C4-4521-9D61-5A15C8E2C9D9}"/>
      </w:docPartPr>
      <w:docPartBody>
        <w:p w:rsidR="00000000" w:rsidRDefault="006C56F4"/>
      </w:docPartBody>
    </w:docPart>
    <w:docPart>
      <w:docPartPr>
        <w:name w:val="F02CA0AA371F4E66BE9591BEA183D468"/>
        <w:category>
          <w:name w:val="General"/>
          <w:gallery w:val="placeholder"/>
        </w:category>
        <w:types>
          <w:type w:val="bbPlcHdr"/>
        </w:types>
        <w:behaviors>
          <w:behavior w:val="content"/>
        </w:behaviors>
        <w:guid w:val="{5CCD167B-AF97-474E-94E9-7DABDBB398AB}"/>
      </w:docPartPr>
      <w:docPartBody>
        <w:p w:rsidR="00000000" w:rsidRDefault="006C56F4"/>
      </w:docPartBody>
    </w:docPart>
    <w:docPart>
      <w:docPartPr>
        <w:name w:val="2C065F4B602843A8B3E6146E8DE4894F"/>
        <w:category>
          <w:name w:val="General"/>
          <w:gallery w:val="placeholder"/>
        </w:category>
        <w:types>
          <w:type w:val="bbPlcHdr"/>
        </w:types>
        <w:behaviors>
          <w:behavior w:val="content"/>
        </w:behaviors>
        <w:guid w:val="{F9B9B2F2-1675-4058-AAE6-56949D8B104F}"/>
      </w:docPartPr>
      <w:docPartBody>
        <w:p w:rsidR="00000000" w:rsidRDefault="006C56F4"/>
      </w:docPartBody>
    </w:docPart>
    <w:docPart>
      <w:docPartPr>
        <w:name w:val="98C78355FA714818BE4856D575E46A4B"/>
        <w:category>
          <w:name w:val="General"/>
          <w:gallery w:val="placeholder"/>
        </w:category>
        <w:types>
          <w:type w:val="bbPlcHdr"/>
        </w:types>
        <w:behaviors>
          <w:behavior w:val="content"/>
        </w:behaviors>
        <w:guid w:val="{5969C2BD-28E4-4579-9E70-BC28C2D2AFD8}"/>
      </w:docPartPr>
      <w:docPartBody>
        <w:p w:rsidR="00000000" w:rsidRDefault="000324F1" w:rsidP="000324F1">
          <w:pPr>
            <w:pStyle w:val="98C78355FA714818BE4856D575E46A4B"/>
          </w:pPr>
          <w:r w:rsidRPr="00A30DD1">
            <w:rPr>
              <w:rStyle w:val="PlaceholderText"/>
            </w:rPr>
            <w:t>Click here to enter a date.</w:t>
          </w:r>
        </w:p>
      </w:docPartBody>
    </w:docPart>
    <w:docPart>
      <w:docPartPr>
        <w:name w:val="686893739B8B410A955B4CE87D34C0B0"/>
        <w:category>
          <w:name w:val="General"/>
          <w:gallery w:val="placeholder"/>
        </w:category>
        <w:types>
          <w:type w:val="bbPlcHdr"/>
        </w:types>
        <w:behaviors>
          <w:behavior w:val="content"/>
        </w:behaviors>
        <w:guid w:val="{5B66C8FB-112A-4102-B9E0-49ABBA232F2A}"/>
      </w:docPartPr>
      <w:docPartBody>
        <w:p w:rsidR="00000000" w:rsidRDefault="006C56F4"/>
      </w:docPartBody>
    </w:docPart>
    <w:docPart>
      <w:docPartPr>
        <w:name w:val="04D86F73357346F096DF70CA66931D0A"/>
        <w:category>
          <w:name w:val="General"/>
          <w:gallery w:val="placeholder"/>
        </w:category>
        <w:types>
          <w:type w:val="bbPlcHdr"/>
        </w:types>
        <w:behaviors>
          <w:behavior w:val="content"/>
        </w:behaviors>
        <w:guid w:val="{10446BF6-00CD-405B-B604-DD0BC1BE691D}"/>
      </w:docPartPr>
      <w:docPartBody>
        <w:p w:rsidR="00000000" w:rsidRDefault="006C56F4"/>
      </w:docPartBody>
    </w:docPart>
    <w:docPart>
      <w:docPartPr>
        <w:name w:val="FF1396E021344DDD982B17E3AB6B4715"/>
        <w:category>
          <w:name w:val="General"/>
          <w:gallery w:val="placeholder"/>
        </w:category>
        <w:types>
          <w:type w:val="bbPlcHdr"/>
        </w:types>
        <w:behaviors>
          <w:behavior w:val="content"/>
        </w:behaviors>
        <w:guid w:val="{86D5FA19-01D4-4F31-B87F-739D39C7C3D3}"/>
      </w:docPartPr>
      <w:docPartBody>
        <w:p w:rsidR="00000000" w:rsidRDefault="000324F1" w:rsidP="000324F1">
          <w:pPr>
            <w:pStyle w:val="FF1396E021344DDD982B17E3AB6B4715"/>
          </w:pPr>
          <w:r>
            <w:rPr>
              <w:rFonts w:eastAsia="Times New Roman" w:cs="Times New Roman"/>
              <w:bCs/>
              <w:szCs w:val="24"/>
            </w:rPr>
            <w:t xml:space="preserve"> </w:t>
          </w:r>
        </w:p>
      </w:docPartBody>
    </w:docPart>
    <w:docPart>
      <w:docPartPr>
        <w:name w:val="D90566FD509344E989819857FDD843A5"/>
        <w:category>
          <w:name w:val="General"/>
          <w:gallery w:val="placeholder"/>
        </w:category>
        <w:types>
          <w:type w:val="bbPlcHdr"/>
        </w:types>
        <w:behaviors>
          <w:behavior w:val="content"/>
        </w:behaviors>
        <w:guid w:val="{7590671C-47D4-4574-B7AA-6556AE8273A8}"/>
      </w:docPartPr>
      <w:docPartBody>
        <w:p w:rsidR="00000000" w:rsidRDefault="006C56F4"/>
      </w:docPartBody>
    </w:docPart>
    <w:docPart>
      <w:docPartPr>
        <w:name w:val="15418A10E4AB4E59B39884B4A830FB16"/>
        <w:category>
          <w:name w:val="General"/>
          <w:gallery w:val="placeholder"/>
        </w:category>
        <w:types>
          <w:type w:val="bbPlcHdr"/>
        </w:types>
        <w:behaviors>
          <w:behavior w:val="content"/>
        </w:behaviors>
        <w:guid w:val="{3862512D-A9FF-4E93-B46D-9B3929ACDA4C}"/>
      </w:docPartPr>
      <w:docPartBody>
        <w:p w:rsidR="00000000" w:rsidRDefault="006C5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24F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56F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4F1"/>
    <w:rPr>
      <w:color w:val="808080"/>
    </w:rPr>
  </w:style>
  <w:style w:type="paragraph" w:customStyle="1" w:styleId="98C78355FA714818BE4856D575E46A4B">
    <w:name w:val="98C78355FA714818BE4856D575E46A4B"/>
    <w:rsid w:val="000324F1"/>
    <w:pPr>
      <w:spacing w:after="160" w:line="259" w:lineRule="auto"/>
    </w:pPr>
  </w:style>
  <w:style w:type="paragraph" w:customStyle="1" w:styleId="FF1396E021344DDD982B17E3AB6B4715">
    <w:name w:val="FF1396E021344DDD982B17E3AB6B4715"/>
    <w:rsid w:val="000324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634</Words>
  <Characters>3618</Characters>
  <Application>Microsoft Office Word</Application>
  <DocSecurity>0</DocSecurity>
  <Lines>30</Lines>
  <Paragraphs>8</Paragraphs>
  <ScaleCrop>false</ScaleCrop>
  <Company>Texas Legislative Council</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2023-05-20T17:00:00Z</dcterms:modified>
</cp:coreProperties>
</file>

<file path=docProps/custom.xml><?xml version="1.0" encoding="utf-8"?>
<op:Properties xmlns:vt="http://schemas.openxmlformats.org/officeDocument/2006/docPropsVTypes" xmlns:op="http://schemas.openxmlformats.org/officeDocument/2006/custom-properties"/>
</file>