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46474E" w14:paraId="14C1E1D5" w14:textId="77777777" w:rsidTr="00345119">
        <w:tc>
          <w:tcPr>
            <w:tcW w:w="9576" w:type="dxa"/>
            <w:noWrap/>
          </w:tcPr>
          <w:p w14:paraId="027D1CAE" w14:textId="77777777" w:rsidR="008423E4" w:rsidRPr="0022177D" w:rsidRDefault="00D97A02" w:rsidP="00D21A4A">
            <w:pPr>
              <w:pStyle w:val="Heading1"/>
            </w:pPr>
            <w:r w:rsidRPr="00631897">
              <w:t>BILL ANALYSIS</w:t>
            </w:r>
          </w:p>
        </w:tc>
      </w:tr>
    </w:tbl>
    <w:p w14:paraId="6D0158B5" w14:textId="77777777" w:rsidR="008423E4" w:rsidRPr="0022177D" w:rsidRDefault="008423E4" w:rsidP="00D21A4A">
      <w:pPr>
        <w:jc w:val="center"/>
      </w:pPr>
    </w:p>
    <w:p w14:paraId="67B50EAA" w14:textId="77777777" w:rsidR="008423E4" w:rsidRPr="00B31F0E" w:rsidRDefault="008423E4" w:rsidP="00D21A4A"/>
    <w:p w14:paraId="280073CA" w14:textId="77777777" w:rsidR="008423E4" w:rsidRPr="00742794" w:rsidRDefault="008423E4" w:rsidP="00D21A4A">
      <w:pPr>
        <w:tabs>
          <w:tab w:val="right" w:pos="9360"/>
        </w:tabs>
      </w:pPr>
    </w:p>
    <w:tbl>
      <w:tblPr>
        <w:tblW w:w="0" w:type="auto"/>
        <w:tblLayout w:type="fixed"/>
        <w:tblLook w:val="01E0" w:firstRow="1" w:lastRow="1" w:firstColumn="1" w:lastColumn="1" w:noHBand="0" w:noVBand="0"/>
      </w:tblPr>
      <w:tblGrid>
        <w:gridCol w:w="9576"/>
      </w:tblGrid>
      <w:tr w:rsidR="0046474E" w14:paraId="67ACAC21" w14:textId="77777777" w:rsidTr="00345119">
        <w:tc>
          <w:tcPr>
            <w:tcW w:w="9576" w:type="dxa"/>
          </w:tcPr>
          <w:p w14:paraId="3466D2AB" w14:textId="3C183B33" w:rsidR="008423E4" w:rsidRPr="00861995" w:rsidRDefault="00D97A02" w:rsidP="00D21A4A">
            <w:pPr>
              <w:jc w:val="right"/>
            </w:pPr>
            <w:r>
              <w:t>C.S.H.B. 5066</w:t>
            </w:r>
          </w:p>
        </w:tc>
      </w:tr>
      <w:tr w:rsidR="0046474E" w14:paraId="50397DCA" w14:textId="77777777" w:rsidTr="00345119">
        <w:tc>
          <w:tcPr>
            <w:tcW w:w="9576" w:type="dxa"/>
          </w:tcPr>
          <w:p w14:paraId="66546F2A" w14:textId="3130A029" w:rsidR="008423E4" w:rsidRPr="00861995" w:rsidRDefault="00D97A02" w:rsidP="00D21A4A">
            <w:pPr>
              <w:jc w:val="right"/>
            </w:pPr>
            <w:r>
              <w:t xml:space="preserve">By: </w:t>
            </w:r>
            <w:r w:rsidR="00990089">
              <w:t>Geren</w:t>
            </w:r>
          </w:p>
        </w:tc>
      </w:tr>
      <w:tr w:rsidR="0046474E" w14:paraId="152CBD32" w14:textId="77777777" w:rsidTr="00345119">
        <w:tc>
          <w:tcPr>
            <w:tcW w:w="9576" w:type="dxa"/>
          </w:tcPr>
          <w:p w14:paraId="489B9EED" w14:textId="379EC5C1" w:rsidR="008423E4" w:rsidRPr="00861995" w:rsidRDefault="00D97A02" w:rsidP="00D21A4A">
            <w:pPr>
              <w:jc w:val="right"/>
            </w:pPr>
            <w:r>
              <w:t>State Affairs</w:t>
            </w:r>
          </w:p>
        </w:tc>
      </w:tr>
      <w:tr w:rsidR="0046474E" w14:paraId="1DF15A27" w14:textId="77777777" w:rsidTr="00345119">
        <w:tc>
          <w:tcPr>
            <w:tcW w:w="9576" w:type="dxa"/>
          </w:tcPr>
          <w:p w14:paraId="7062EB7F" w14:textId="525281AC" w:rsidR="008423E4" w:rsidRDefault="00D97A02" w:rsidP="00D21A4A">
            <w:pPr>
              <w:jc w:val="right"/>
            </w:pPr>
            <w:r>
              <w:t>Committee Report (Substituted)</w:t>
            </w:r>
          </w:p>
        </w:tc>
      </w:tr>
    </w:tbl>
    <w:p w14:paraId="4F1C5D1D" w14:textId="77777777" w:rsidR="008423E4" w:rsidRDefault="008423E4" w:rsidP="00D21A4A">
      <w:pPr>
        <w:tabs>
          <w:tab w:val="right" w:pos="9360"/>
        </w:tabs>
      </w:pPr>
    </w:p>
    <w:p w14:paraId="0E2CFE4D" w14:textId="77777777" w:rsidR="008423E4" w:rsidRDefault="008423E4" w:rsidP="00D21A4A"/>
    <w:p w14:paraId="6F247E80" w14:textId="77777777" w:rsidR="008423E4" w:rsidRDefault="008423E4" w:rsidP="00D21A4A"/>
    <w:tbl>
      <w:tblPr>
        <w:tblW w:w="0" w:type="auto"/>
        <w:tblCellMar>
          <w:left w:w="115" w:type="dxa"/>
          <w:right w:w="115" w:type="dxa"/>
        </w:tblCellMar>
        <w:tblLook w:val="01E0" w:firstRow="1" w:lastRow="1" w:firstColumn="1" w:lastColumn="1" w:noHBand="0" w:noVBand="0"/>
      </w:tblPr>
      <w:tblGrid>
        <w:gridCol w:w="9360"/>
      </w:tblGrid>
      <w:tr w:rsidR="0046474E" w14:paraId="73849A62" w14:textId="77777777" w:rsidTr="00345119">
        <w:tc>
          <w:tcPr>
            <w:tcW w:w="9576" w:type="dxa"/>
          </w:tcPr>
          <w:p w14:paraId="6615ECFC" w14:textId="77777777" w:rsidR="008423E4" w:rsidRPr="00A8133F" w:rsidRDefault="00D97A02" w:rsidP="00D21A4A">
            <w:pPr>
              <w:rPr>
                <w:b/>
              </w:rPr>
            </w:pPr>
            <w:r w:rsidRPr="009C1E9A">
              <w:rPr>
                <w:b/>
                <w:u w:val="single"/>
              </w:rPr>
              <w:t>BACKGROUND AND PURPOSE</w:t>
            </w:r>
            <w:r>
              <w:rPr>
                <w:b/>
              </w:rPr>
              <w:t xml:space="preserve"> </w:t>
            </w:r>
          </w:p>
          <w:p w14:paraId="72315C61" w14:textId="77777777" w:rsidR="008423E4" w:rsidRDefault="008423E4" w:rsidP="00D21A4A"/>
          <w:p w14:paraId="6AB1F776" w14:textId="2C87C2BC" w:rsidR="008423E4" w:rsidRDefault="00D97A02" w:rsidP="00D21A4A">
            <w:pPr>
              <w:pStyle w:val="Header"/>
              <w:tabs>
                <w:tab w:val="clear" w:pos="4320"/>
                <w:tab w:val="clear" w:pos="8640"/>
              </w:tabs>
              <w:jc w:val="both"/>
            </w:pPr>
            <w:r>
              <w:t>The 2022 ERCOT West Texas Load Study found that t</w:t>
            </w:r>
            <w:r w:rsidR="00F6499F" w:rsidRPr="00F6499F">
              <w:t xml:space="preserve">he current process for building </w:t>
            </w:r>
            <w:r w:rsidR="00BB2C0D">
              <w:t xml:space="preserve">electric </w:t>
            </w:r>
            <w:r w:rsidR="00F6499F" w:rsidRPr="00F6499F">
              <w:t>transmission to serve customer growth is not keeping up with the demand</w:t>
            </w:r>
            <w:r w:rsidR="00FD6F14">
              <w:t>, which</w:t>
            </w:r>
            <w:r w:rsidR="00F6499F" w:rsidRPr="00F6499F">
              <w:t xml:space="preserve"> is particularly a problem in areas </w:t>
            </w:r>
            <w:r w:rsidR="00FD6F14">
              <w:t xml:space="preserve">of Texas </w:t>
            </w:r>
            <w:r w:rsidR="00F6499F" w:rsidRPr="00F6499F">
              <w:t>with heavy oil and gas development</w:t>
            </w:r>
            <w:r w:rsidR="00FD6F14">
              <w:t xml:space="preserve"> as well as</w:t>
            </w:r>
            <w:r w:rsidR="00F6499F" w:rsidRPr="00F6499F">
              <w:t xml:space="preserve"> other areas experiencing rapid growth in the industrial sector. </w:t>
            </w:r>
            <w:r w:rsidR="00863023">
              <w:t xml:space="preserve">Currently, </w:t>
            </w:r>
            <w:r w:rsidR="00F6499F" w:rsidRPr="00F6499F">
              <w:t>ERCOT does not count large new loads in their planning process until they have provided financial security, which is usually relatively close to when the customer wants power and does</w:t>
            </w:r>
            <w:r w:rsidR="00BE2268">
              <w:t xml:space="preserve"> </w:t>
            </w:r>
            <w:r w:rsidR="00F6499F" w:rsidRPr="00F6499F">
              <w:t>n</w:t>
            </w:r>
            <w:r w:rsidR="00BE2268">
              <w:t>o</w:t>
            </w:r>
            <w:r w:rsidR="00F6499F" w:rsidRPr="00F6499F">
              <w:t>t facilitate long lead-time transmission projects</w:t>
            </w:r>
            <w:r w:rsidR="00863023">
              <w:t xml:space="preserve">. Furthermore, while </w:t>
            </w:r>
            <w:r w:rsidR="00F6499F" w:rsidRPr="00F6499F">
              <w:t>ERCOT</w:t>
            </w:r>
            <w:r w:rsidR="00863023">
              <w:t xml:space="preserve"> currently</w:t>
            </w:r>
            <w:r w:rsidR="00F6499F" w:rsidRPr="00F6499F">
              <w:t xml:space="preserve"> imposes limits on the utilities</w:t>
            </w:r>
            <w:r w:rsidR="00FD6F14">
              <w:t>'</w:t>
            </w:r>
            <w:r w:rsidR="00F6499F" w:rsidRPr="00F6499F">
              <w:t xml:space="preserve"> load forecasts</w:t>
            </w:r>
            <w:r w:rsidR="00863023">
              <w:t xml:space="preserve">, </w:t>
            </w:r>
            <w:r w:rsidR="00F6499F" w:rsidRPr="00F6499F">
              <w:t xml:space="preserve">many existing loads are electrifying their facilities, which creates a new electrical demand on a short timeline. If </w:t>
            </w:r>
            <w:r w:rsidR="00BB2C0D">
              <w:t xml:space="preserve">a large number of </w:t>
            </w:r>
            <w:r w:rsidR="00F6499F" w:rsidRPr="00F6499F">
              <w:t xml:space="preserve">customers want power at once, this </w:t>
            </w:r>
            <w:r w:rsidR="00BB2C0D">
              <w:t>could</w:t>
            </w:r>
            <w:r w:rsidR="00BB2C0D" w:rsidRPr="00F6499F">
              <w:t xml:space="preserve"> </w:t>
            </w:r>
            <w:r w:rsidR="00F6499F" w:rsidRPr="00F6499F">
              <w:t xml:space="preserve">require a </w:t>
            </w:r>
            <w:r w:rsidR="00FD6F14">
              <w:t xml:space="preserve">new </w:t>
            </w:r>
            <w:r w:rsidR="00F6499F" w:rsidRPr="00F6499F">
              <w:t xml:space="preserve">transmission project </w:t>
            </w:r>
            <w:r w:rsidR="00FD6F14">
              <w:t xml:space="preserve">to come online, </w:t>
            </w:r>
            <w:r w:rsidR="00BB2C0D">
              <w:t>potentially taking</w:t>
            </w:r>
            <w:r w:rsidR="00F6499F" w:rsidRPr="00F6499F">
              <w:t xml:space="preserve"> years</w:t>
            </w:r>
            <w:r w:rsidR="00BB2C0D">
              <w:t xml:space="preserve"> and leaving </w:t>
            </w:r>
            <w:r w:rsidR="00F6499F" w:rsidRPr="00F6499F">
              <w:t>customers waiting for power</w:t>
            </w:r>
            <w:r w:rsidR="00BB2C0D">
              <w:t xml:space="preserve"> in the meantime</w:t>
            </w:r>
            <w:r w:rsidR="00F6499F" w:rsidRPr="00F6499F">
              <w:t>. In short, the ERCOT region currently plans the grid reactively so that transmission improvements typically occur only after customer load exists</w:t>
            </w:r>
            <w:r w:rsidR="00BB2C0D">
              <w:t>, which</w:t>
            </w:r>
            <w:r w:rsidR="00F6499F" w:rsidRPr="00F6499F">
              <w:t xml:space="preserve"> creates a chicken</w:t>
            </w:r>
            <w:r w:rsidR="0062747E">
              <w:t>-</w:t>
            </w:r>
            <w:r w:rsidR="00F6499F" w:rsidRPr="00F6499F">
              <w:t>and</w:t>
            </w:r>
            <w:r w:rsidR="0062747E">
              <w:t>-</w:t>
            </w:r>
            <w:r w:rsidR="00F6499F" w:rsidRPr="00F6499F">
              <w:t xml:space="preserve">egg problem particularly </w:t>
            </w:r>
            <w:r w:rsidR="00BB2C0D">
              <w:t xml:space="preserve">for </w:t>
            </w:r>
            <w:r w:rsidR="00F6499F" w:rsidRPr="00F6499F">
              <w:t>large</w:t>
            </w:r>
            <w:r w:rsidR="00BB2C0D">
              <w:t>r</w:t>
            </w:r>
            <w:r w:rsidR="00F6499F" w:rsidRPr="00F6499F">
              <w:t xml:space="preserve"> customers. </w:t>
            </w:r>
            <w:r w:rsidR="00F6499F">
              <w:t>C.S.H.B.</w:t>
            </w:r>
            <w:r w:rsidR="00C07D10">
              <w:t> </w:t>
            </w:r>
            <w:r w:rsidR="00F6499F">
              <w:t>5066</w:t>
            </w:r>
            <w:r w:rsidR="00F6499F" w:rsidRPr="00F6499F">
              <w:t xml:space="preserve"> attempts to spur a bolder, more proactive approach that better syncs the transmission planning and construction process with the dynamic needs of Texas customers</w:t>
            </w:r>
            <w:r w:rsidR="00F6499F">
              <w:t xml:space="preserve"> by</w:t>
            </w:r>
            <w:r w:rsidR="00F6499F" w:rsidRPr="00F6499F">
              <w:t xml:space="preserve"> requir</w:t>
            </w:r>
            <w:r w:rsidR="00F6499F">
              <w:t>ing</w:t>
            </w:r>
            <w:r w:rsidR="00F6499F" w:rsidRPr="00F6499F">
              <w:t xml:space="preserve"> ERCOT, the </w:t>
            </w:r>
            <w:r w:rsidR="00F6499F">
              <w:t>Public Utility Commission of Texas,</w:t>
            </w:r>
            <w:r w:rsidR="00F6499F" w:rsidRPr="00F6499F">
              <w:t xml:space="preserve"> and utilities to plan the grid more proactively based on the information utilities have about load growth in their area. </w:t>
            </w:r>
          </w:p>
          <w:p w14:paraId="486F5E61" w14:textId="77777777" w:rsidR="008423E4" w:rsidRPr="00E26B13" w:rsidRDefault="008423E4" w:rsidP="00D21A4A">
            <w:pPr>
              <w:rPr>
                <w:b/>
              </w:rPr>
            </w:pPr>
          </w:p>
        </w:tc>
      </w:tr>
      <w:tr w:rsidR="0046474E" w14:paraId="3AE43C1D" w14:textId="77777777" w:rsidTr="00345119">
        <w:tc>
          <w:tcPr>
            <w:tcW w:w="9576" w:type="dxa"/>
          </w:tcPr>
          <w:p w14:paraId="41239810" w14:textId="77777777" w:rsidR="0017725B" w:rsidRDefault="00D97A02" w:rsidP="00D21A4A">
            <w:pPr>
              <w:rPr>
                <w:b/>
                <w:u w:val="single"/>
              </w:rPr>
            </w:pPr>
            <w:r>
              <w:rPr>
                <w:b/>
                <w:u w:val="single"/>
              </w:rPr>
              <w:t>CRIMINAL JUSTICE IMPACT</w:t>
            </w:r>
          </w:p>
          <w:p w14:paraId="0D8D7E66" w14:textId="77777777" w:rsidR="0017725B" w:rsidRDefault="0017725B" w:rsidP="00D21A4A">
            <w:pPr>
              <w:rPr>
                <w:b/>
                <w:u w:val="single"/>
              </w:rPr>
            </w:pPr>
          </w:p>
          <w:p w14:paraId="255878BA" w14:textId="4E1C4A84" w:rsidR="00866D89" w:rsidRPr="00866D89" w:rsidRDefault="00D97A02" w:rsidP="00D21A4A">
            <w:pPr>
              <w:jc w:val="both"/>
            </w:pPr>
            <w:r>
              <w:t>It is the committee's opinion that this bill does not expressly create a crimina</w:t>
            </w:r>
            <w:r>
              <w:t>l offense, increase the punishment for an existing criminal offense or category of offenses, or change the eligibility of a person for community supervision, parole, or mandatory supervision.</w:t>
            </w:r>
          </w:p>
          <w:p w14:paraId="38980428" w14:textId="77777777" w:rsidR="0017725B" w:rsidRPr="0017725B" w:rsidRDefault="0017725B" w:rsidP="00D21A4A">
            <w:pPr>
              <w:rPr>
                <w:b/>
                <w:u w:val="single"/>
              </w:rPr>
            </w:pPr>
          </w:p>
        </w:tc>
      </w:tr>
      <w:tr w:rsidR="0046474E" w14:paraId="33B29634" w14:textId="77777777" w:rsidTr="00345119">
        <w:tc>
          <w:tcPr>
            <w:tcW w:w="9576" w:type="dxa"/>
          </w:tcPr>
          <w:p w14:paraId="60E2E63F" w14:textId="77777777" w:rsidR="008423E4" w:rsidRPr="00A8133F" w:rsidRDefault="00D97A02" w:rsidP="00D21A4A">
            <w:pPr>
              <w:rPr>
                <w:b/>
              </w:rPr>
            </w:pPr>
            <w:r w:rsidRPr="009C1E9A">
              <w:rPr>
                <w:b/>
                <w:u w:val="single"/>
              </w:rPr>
              <w:t>RULEMAKING AUTHORITY</w:t>
            </w:r>
            <w:r>
              <w:rPr>
                <w:b/>
              </w:rPr>
              <w:t xml:space="preserve"> </w:t>
            </w:r>
          </w:p>
          <w:p w14:paraId="7BA7E430" w14:textId="77777777" w:rsidR="008423E4" w:rsidRDefault="008423E4" w:rsidP="00D21A4A"/>
          <w:p w14:paraId="7A98114B" w14:textId="36DC5C96" w:rsidR="00866D89" w:rsidRDefault="00D97A02" w:rsidP="00D21A4A">
            <w:pPr>
              <w:pStyle w:val="Header"/>
              <w:tabs>
                <w:tab w:val="clear" w:pos="4320"/>
                <w:tab w:val="clear" w:pos="8640"/>
              </w:tabs>
              <w:jc w:val="both"/>
            </w:pPr>
            <w:r>
              <w:t>It is the committee's opinion that this</w:t>
            </w:r>
            <w:r>
              <w:t xml:space="preserve"> bill does not expressly grant any additional rulemaking authority to a state officer, department, agency, or institution.</w:t>
            </w:r>
          </w:p>
          <w:p w14:paraId="147A5243" w14:textId="77777777" w:rsidR="008423E4" w:rsidRPr="00E21FDC" w:rsidRDefault="008423E4" w:rsidP="00D21A4A">
            <w:pPr>
              <w:rPr>
                <w:b/>
              </w:rPr>
            </w:pPr>
          </w:p>
        </w:tc>
      </w:tr>
      <w:tr w:rsidR="0046474E" w14:paraId="03215B89" w14:textId="77777777" w:rsidTr="00345119">
        <w:tc>
          <w:tcPr>
            <w:tcW w:w="9576" w:type="dxa"/>
          </w:tcPr>
          <w:p w14:paraId="653915C4" w14:textId="77777777" w:rsidR="008423E4" w:rsidRPr="00A8133F" w:rsidRDefault="00D97A02" w:rsidP="00D21A4A">
            <w:pPr>
              <w:rPr>
                <w:b/>
              </w:rPr>
            </w:pPr>
            <w:r w:rsidRPr="009C1E9A">
              <w:rPr>
                <w:b/>
                <w:u w:val="single"/>
              </w:rPr>
              <w:t>ANALYSIS</w:t>
            </w:r>
            <w:r>
              <w:rPr>
                <w:b/>
              </w:rPr>
              <w:t xml:space="preserve"> </w:t>
            </w:r>
          </w:p>
          <w:p w14:paraId="5A04E7FA" w14:textId="77777777" w:rsidR="008423E4" w:rsidRDefault="008423E4" w:rsidP="00D21A4A"/>
          <w:p w14:paraId="0944519E" w14:textId="694B4B95" w:rsidR="009C36CD" w:rsidRDefault="00D97A02" w:rsidP="00D21A4A">
            <w:pPr>
              <w:pStyle w:val="Header"/>
              <w:tabs>
                <w:tab w:val="clear" w:pos="4320"/>
                <w:tab w:val="clear" w:pos="8640"/>
                <w:tab w:val="center" w:pos="4565"/>
              </w:tabs>
              <w:jc w:val="both"/>
            </w:pPr>
            <w:r>
              <w:t>C.S.</w:t>
            </w:r>
            <w:r w:rsidR="00EF3620">
              <w:t xml:space="preserve">H.B. 5066 amends the Utilities Code to </w:t>
            </w:r>
            <w:r w:rsidR="005E1DDC">
              <w:t>r</w:t>
            </w:r>
            <w:r w:rsidR="005E1DDC" w:rsidRPr="005E1DDC">
              <w:t>equire the Public Utility Commission of Texas</w:t>
            </w:r>
            <w:r w:rsidR="005E1DDC">
              <w:t xml:space="preserve"> (PUC)</w:t>
            </w:r>
            <w:r w:rsidR="00C279F4">
              <w:t>,</w:t>
            </w:r>
            <w:r w:rsidR="00926A73">
              <w:t xml:space="preserve"> </w:t>
            </w:r>
            <w:r w:rsidR="00C279F4">
              <w:t xml:space="preserve">on </w:t>
            </w:r>
            <w:r w:rsidR="00774FD8" w:rsidRPr="00774FD8">
              <w:t>identif</w:t>
            </w:r>
            <w:r w:rsidR="00C279F4">
              <w:t>y</w:t>
            </w:r>
            <w:r w:rsidR="00774FD8" w:rsidRPr="00774FD8">
              <w:t>i</w:t>
            </w:r>
            <w:r w:rsidR="00C279F4">
              <w:t>ng</w:t>
            </w:r>
            <w:r w:rsidR="00774FD8" w:rsidRPr="00774FD8">
              <w:t xml:space="preserve"> a region </w:t>
            </w:r>
            <w:r w:rsidR="00847B98">
              <w:t xml:space="preserve">in which </w:t>
            </w:r>
            <w:r w:rsidR="00774FD8" w:rsidRPr="00774FD8">
              <w:t xml:space="preserve">transmission capacity is insufficient to </w:t>
            </w:r>
            <w:r w:rsidR="00847B98">
              <w:t>meet the region's</w:t>
            </w:r>
            <w:r w:rsidR="00847B98" w:rsidRPr="00774FD8">
              <w:t xml:space="preserve"> </w:t>
            </w:r>
            <w:r w:rsidR="00774FD8" w:rsidRPr="00774FD8">
              <w:t xml:space="preserve">existing and </w:t>
            </w:r>
            <w:r w:rsidR="00847B98">
              <w:t>forecasted electrical</w:t>
            </w:r>
            <w:r w:rsidR="00847B98" w:rsidRPr="00774FD8">
              <w:t xml:space="preserve"> </w:t>
            </w:r>
            <w:r w:rsidR="00774FD8" w:rsidRPr="00774FD8">
              <w:t>load, as reasonably determined by the certificated</w:t>
            </w:r>
            <w:r w:rsidR="00847B98">
              <w:t xml:space="preserve"> transmission service provider</w:t>
            </w:r>
            <w:r w:rsidR="00C279F4">
              <w:t xml:space="preserve">, to develop and implement a </w:t>
            </w:r>
            <w:r w:rsidR="00847B98">
              <w:t xml:space="preserve">reliability </w:t>
            </w:r>
            <w:r w:rsidR="00C279F4">
              <w:t>plan to serve</w:t>
            </w:r>
            <w:r w:rsidR="00847B98">
              <w:t xml:space="preserve"> existing and</w:t>
            </w:r>
            <w:r w:rsidR="00C279F4">
              <w:t xml:space="preserve"> forecasted </w:t>
            </w:r>
            <w:r w:rsidR="00847B98">
              <w:t>load in the identified region</w:t>
            </w:r>
            <w:r w:rsidR="005E1DDC" w:rsidRPr="005E1DDC">
              <w:t xml:space="preserve">. </w:t>
            </w:r>
            <w:r w:rsidR="00292AD2">
              <w:t>Such a</w:t>
            </w:r>
            <w:r w:rsidR="00847B98">
              <w:t xml:space="preserve"> </w:t>
            </w:r>
            <w:r w:rsidR="005E1DDC" w:rsidRPr="005E1DDC">
              <w:t>plan must ensure timely planning</w:t>
            </w:r>
            <w:r w:rsidR="00847B98">
              <w:t>, identification,</w:t>
            </w:r>
            <w:r w:rsidR="005E1DDC" w:rsidRPr="005E1DDC">
              <w:t xml:space="preserve"> and approval of necessary transmission improvements</w:t>
            </w:r>
            <w:r w:rsidR="00A2302A">
              <w:t xml:space="preserve"> under existing rules</w:t>
            </w:r>
            <w:r w:rsidR="005E1DDC" w:rsidRPr="005E1DDC">
              <w:t xml:space="preserve">. </w:t>
            </w:r>
            <w:r w:rsidR="00292AD2">
              <w:t>Moreover, t</w:t>
            </w:r>
            <w:r w:rsidR="005E1DDC" w:rsidRPr="005E1DDC">
              <w:t>he bill</w:t>
            </w:r>
            <w:r w:rsidR="000879D0">
              <w:t>, in a temporary provision set to expire September 1, 2025,</w:t>
            </w:r>
            <w:r w:rsidR="005E1DDC" w:rsidRPr="005E1DDC">
              <w:t xml:space="preserve"> requires the PUC to develop a</w:t>
            </w:r>
            <w:r w:rsidR="00A2302A">
              <w:t xml:space="preserve"> reliability</w:t>
            </w:r>
            <w:r w:rsidR="005E1DDC" w:rsidRPr="005E1DDC">
              <w:t xml:space="preserve"> plan for the Permian Basin region no</w:t>
            </w:r>
            <w:r w:rsidR="0062747E">
              <w:t>t</w:t>
            </w:r>
            <w:r w:rsidR="005E1DDC" w:rsidRPr="005E1DDC">
              <w:t xml:space="preserve"> later than January 30, 2024</w:t>
            </w:r>
            <w:r w:rsidR="00292AD2">
              <w:t>, that</w:t>
            </w:r>
            <w:r w:rsidR="00A2302A">
              <w:t xml:space="preserve"> do</w:t>
            </w:r>
            <w:r w:rsidR="00292AD2">
              <w:t>es</w:t>
            </w:r>
            <w:r w:rsidR="00A2302A">
              <w:t xml:space="preserve"> the following:</w:t>
            </w:r>
          </w:p>
          <w:p w14:paraId="5B80DB37" w14:textId="645845ED" w:rsidR="00A2302A" w:rsidRDefault="00D97A02" w:rsidP="00D21A4A">
            <w:pPr>
              <w:pStyle w:val="Header"/>
              <w:numPr>
                <w:ilvl w:val="0"/>
                <w:numId w:val="2"/>
              </w:numPr>
              <w:tabs>
                <w:tab w:val="center" w:pos="4565"/>
              </w:tabs>
              <w:jc w:val="both"/>
            </w:pPr>
            <w:r>
              <w:t>address</w:t>
            </w:r>
            <w:r w:rsidR="00292AD2">
              <w:t>es</w:t>
            </w:r>
            <w:r>
              <w:t xml:space="preserve"> extending transmission service to areas where mineral resources have been found;</w:t>
            </w:r>
          </w:p>
          <w:p w14:paraId="7966C23D" w14:textId="129734AD" w:rsidR="00A2302A" w:rsidRDefault="00D97A02" w:rsidP="00D21A4A">
            <w:pPr>
              <w:pStyle w:val="Header"/>
              <w:numPr>
                <w:ilvl w:val="0"/>
                <w:numId w:val="2"/>
              </w:numPr>
              <w:tabs>
                <w:tab w:val="center" w:pos="4565"/>
              </w:tabs>
              <w:jc w:val="both"/>
            </w:pPr>
            <w:r>
              <w:t>address</w:t>
            </w:r>
            <w:r w:rsidR="00292AD2">
              <w:t>es</w:t>
            </w:r>
            <w:r>
              <w:t xml:space="preserve"> increasing available </w:t>
            </w:r>
            <w:r>
              <w:t>capacity to meet forecasted load for the next decade; and</w:t>
            </w:r>
          </w:p>
          <w:p w14:paraId="7636A8A0" w14:textId="2266C110" w:rsidR="00A2302A" w:rsidRDefault="00D97A02" w:rsidP="00D21A4A">
            <w:pPr>
              <w:pStyle w:val="Header"/>
              <w:numPr>
                <w:ilvl w:val="0"/>
                <w:numId w:val="2"/>
              </w:numPr>
              <w:tabs>
                <w:tab w:val="center" w:pos="4565"/>
              </w:tabs>
              <w:jc w:val="both"/>
            </w:pPr>
            <w:r>
              <w:t>provide</w:t>
            </w:r>
            <w:r w:rsidR="00292AD2">
              <w:t>s</w:t>
            </w:r>
            <w:r>
              <w:t xml:space="preserve"> available infrastructure to reduce interconnection times in areas without access to transmission service.</w:t>
            </w:r>
          </w:p>
          <w:p w14:paraId="19500283" w14:textId="2D7D2A1E" w:rsidR="005E1DDC" w:rsidRDefault="005E1DDC" w:rsidP="00D21A4A">
            <w:pPr>
              <w:pStyle w:val="Header"/>
              <w:tabs>
                <w:tab w:val="clear" w:pos="4320"/>
                <w:tab w:val="clear" w:pos="8640"/>
                <w:tab w:val="center" w:pos="4565"/>
              </w:tabs>
              <w:jc w:val="both"/>
            </w:pPr>
          </w:p>
          <w:p w14:paraId="35C58229" w14:textId="22ECE514" w:rsidR="005E1DDC" w:rsidRDefault="00D97A02" w:rsidP="00D21A4A">
            <w:pPr>
              <w:pStyle w:val="Header"/>
              <w:tabs>
                <w:tab w:val="clear" w:pos="4320"/>
                <w:tab w:val="clear" w:pos="8640"/>
                <w:tab w:val="center" w:pos="4565"/>
              </w:tabs>
              <w:jc w:val="both"/>
            </w:pPr>
            <w:r>
              <w:t xml:space="preserve">C.S.H.B. </w:t>
            </w:r>
            <w:r w:rsidR="00C30326">
              <w:t>5066 revises provisions relating</w:t>
            </w:r>
            <w:r w:rsidR="000D1C3D">
              <w:t xml:space="preserve"> to</w:t>
            </w:r>
            <w:r w:rsidR="00C30326">
              <w:t xml:space="preserve"> the</w:t>
            </w:r>
            <w:r w:rsidR="00866D89">
              <w:t xml:space="preserve"> </w:t>
            </w:r>
            <w:r w:rsidR="00340FB0">
              <w:t xml:space="preserve">criteria </w:t>
            </w:r>
            <w:r w:rsidR="00866D89">
              <w:t xml:space="preserve">the PUC </w:t>
            </w:r>
            <w:r w:rsidR="00C279F4">
              <w:t xml:space="preserve">must </w:t>
            </w:r>
            <w:r w:rsidR="00866D89">
              <w:t xml:space="preserve">consider </w:t>
            </w:r>
            <w:r w:rsidR="00C279F4">
              <w:t xml:space="preserve">in </w:t>
            </w:r>
            <w:r w:rsidR="00C30326">
              <w:t>grant</w:t>
            </w:r>
            <w:r w:rsidR="00866D89">
              <w:t>ing</w:t>
            </w:r>
            <w:r w:rsidR="00C30326">
              <w:t xml:space="preserve"> or den</w:t>
            </w:r>
            <w:r w:rsidR="00866D89">
              <w:t xml:space="preserve">ying </w:t>
            </w:r>
            <w:r w:rsidR="00C30326">
              <w:t xml:space="preserve">a certificate </w:t>
            </w:r>
            <w:r w:rsidR="00C30326" w:rsidRPr="00C30326">
              <w:t>of convenience and necessity</w:t>
            </w:r>
            <w:r w:rsidR="000D1C3D">
              <w:t xml:space="preserve"> </w:t>
            </w:r>
            <w:r w:rsidR="00340FB0">
              <w:t>for an electric utility</w:t>
            </w:r>
            <w:r w:rsidR="00774FD8">
              <w:t xml:space="preserve"> as</w:t>
            </w:r>
            <w:r w:rsidR="00CC1E4F">
              <w:t xml:space="preserve"> </w:t>
            </w:r>
            <w:r w:rsidR="00C30326">
              <w:t>follow</w:t>
            </w:r>
            <w:r w:rsidR="00774FD8">
              <w:t>s</w:t>
            </w:r>
            <w:r w:rsidR="00C30326">
              <w:t>:</w:t>
            </w:r>
          </w:p>
          <w:p w14:paraId="5169DC10" w14:textId="5D8A035B" w:rsidR="00485458" w:rsidRDefault="00D97A02" w:rsidP="00D21A4A">
            <w:pPr>
              <w:pStyle w:val="Header"/>
              <w:numPr>
                <w:ilvl w:val="0"/>
                <w:numId w:val="1"/>
              </w:numPr>
              <w:tabs>
                <w:tab w:val="clear" w:pos="4320"/>
                <w:tab w:val="clear" w:pos="8640"/>
                <w:tab w:val="center" w:pos="4565"/>
              </w:tabs>
              <w:jc w:val="both"/>
            </w:pPr>
            <w:r>
              <w:t xml:space="preserve">replaces </w:t>
            </w:r>
            <w:r w:rsidR="00EF3620">
              <w:t xml:space="preserve">the </w:t>
            </w:r>
            <w:r w:rsidR="00340FB0">
              <w:t xml:space="preserve">criterion </w:t>
            </w:r>
            <w:r>
              <w:t>concerning</w:t>
            </w:r>
            <w:r w:rsidR="0074531A">
              <w:t xml:space="preserve"> the </w:t>
            </w:r>
            <w:r w:rsidR="00EF3620" w:rsidRPr="00EF3620">
              <w:t>effect of granting the certificate on the</w:t>
            </w:r>
            <w:r w:rsidR="00340FB0">
              <w:t xml:space="preserve"> state's</w:t>
            </w:r>
            <w:r w:rsidR="00EF3620" w:rsidRPr="00EF3620">
              <w:t xml:space="preserve"> ability to meet </w:t>
            </w:r>
            <w:r w:rsidR="00340FB0">
              <w:t>its</w:t>
            </w:r>
            <w:r w:rsidR="00340FB0" w:rsidRPr="00EF3620">
              <w:t xml:space="preserve"> </w:t>
            </w:r>
            <w:r w:rsidR="00EF3620" w:rsidRPr="00EF3620">
              <w:t>goal</w:t>
            </w:r>
            <w:r w:rsidR="006B72AE">
              <w:t xml:space="preserve"> for renewable energy</w:t>
            </w:r>
            <w:r w:rsidR="00EF3620" w:rsidRPr="00EF3620">
              <w:t xml:space="preserve"> </w:t>
            </w:r>
            <w:r w:rsidR="0074531A">
              <w:t xml:space="preserve">with </w:t>
            </w:r>
            <w:r w:rsidR="00340FB0">
              <w:t xml:space="preserve">a criterion </w:t>
            </w:r>
            <w:r>
              <w:t>concerning</w:t>
            </w:r>
            <w:r w:rsidR="0074531A">
              <w:t xml:space="preserve"> </w:t>
            </w:r>
            <w:r w:rsidR="0074531A" w:rsidRPr="0074531A">
              <w:t xml:space="preserve">the need </w:t>
            </w:r>
            <w:r w:rsidR="00A2302A">
              <w:t>for</w:t>
            </w:r>
            <w:r w:rsidR="00A2302A" w:rsidRPr="0074531A">
              <w:t xml:space="preserve"> </w:t>
            </w:r>
            <w:r w:rsidR="0074531A" w:rsidRPr="0074531A">
              <w:t>extend</w:t>
            </w:r>
            <w:r w:rsidR="00A2302A">
              <w:t>ing</w:t>
            </w:r>
            <w:r w:rsidR="0074531A" w:rsidRPr="0074531A">
              <w:t xml:space="preserve"> transmission service where existing and projected </w:t>
            </w:r>
            <w:r w:rsidR="00A2302A">
              <w:t xml:space="preserve">electrical </w:t>
            </w:r>
            <w:r w:rsidR="0074531A" w:rsidRPr="0074531A">
              <w:t>load</w:t>
            </w:r>
            <w:r w:rsidR="00A2302A">
              <w:t>s</w:t>
            </w:r>
            <w:r w:rsidR="0074531A" w:rsidRPr="0074531A">
              <w:t xml:space="preserve"> </w:t>
            </w:r>
            <w:r w:rsidR="00A2302A">
              <w:t xml:space="preserve">will </w:t>
            </w:r>
            <w:r w:rsidR="0074531A" w:rsidRPr="0074531A">
              <w:t xml:space="preserve">be underserved, including areas where existing transmission service is unreasonably remote, </w:t>
            </w:r>
            <w:r w:rsidR="00A2302A">
              <w:t xml:space="preserve">the </w:t>
            </w:r>
            <w:r w:rsidR="0074531A" w:rsidRPr="0074531A">
              <w:t>available capacity is unreasonably limited at transmission or distribution voltage</w:t>
            </w:r>
            <w:r w:rsidR="00A2302A">
              <w:t xml:space="preserve"> level</w:t>
            </w:r>
            <w:r w:rsidR="0074531A" w:rsidRPr="0074531A">
              <w:t xml:space="preserve">, or </w:t>
            </w:r>
            <w:r w:rsidR="00A2302A">
              <w:t xml:space="preserve">the electrical </w:t>
            </w:r>
            <w:r w:rsidR="0074531A" w:rsidRPr="0074531A">
              <w:t>load cannot be interconnected</w:t>
            </w:r>
            <w:r w:rsidR="00514A60">
              <w:t xml:space="preserve"> in a timely manner</w:t>
            </w:r>
            <w:r w:rsidR="00CB1E85">
              <w:t xml:space="preserve">; </w:t>
            </w:r>
          </w:p>
          <w:p w14:paraId="7E23AA42" w14:textId="2ABFA6DD" w:rsidR="00EE59E9" w:rsidRDefault="00D97A02" w:rsidP="00D21A4A">
            <w:pPr>
              <w:pStyle w:val="Header"/>
              <w:numPr>
                <w:ilvl w:val="0"/>
                <w:numId w:val="1"/>
              </w:numPr>
              <w:tabs>
                <w:tab w:val="clear" w:pos="4320"/>
                <w:tab w:val="clear" w:pos="8640"/>
                <w:tab w:val="center" w:pos="4565"/>
              </w:tabs>
              <w:jc w:val="both"/>
            </w:pPr>
            <w:r>
              <w:t xml:space="preserve">requires the PUC, in considering that need, to consider the historical load, forecasted load growth, and additional load currently seeking </w:t>
            </w:r>
            <w:r>
              <w:t xml:space="preserve">interconnection, including load for which the electric utility has yet to sign an interconnection agreement, as determined by the electric utility with the responsibility for serving the load; </w:t>
            </w:r>
            <w:r w:rsidR="00CB1E85">
              <w:t>and</w:t>
            </w:r>
          </w:p>
          <w:p w14:paraId="268717D8" w14:textId="3D118368" w:rsidR="00514A60" w:rsidRDefault="00D97A02" w:rsidP="00D21A4A">
            <w:pPr>
              <w:pStyle w:val="Header"/>
              <w:numPr>
                <w:ilvl w:val="0"/>
                <w:numId w:val="1"/>
              </w:numPr>
              <w:tabs>
                <w:tab w:val="clear" w:pos="4320"/>
                <w:tab w:val="clear" w:pos="8640"/>
                <w:tab w:val="center" w:pos="4565"/>
              </w:tabs>
              <w:jc w:val="both"/>
            </w:pPr>
            <w:r>
              <w:t xml:space="preserve">specifies that, with respect to the criterion </w:t>
            </w:r>
            <w:r w:rsidR="00485458">
              <w:t xml:space="preserve">applicable to a reliability transmission project that services the ERCOT power region </w:t>
            </w:r>
            <w:r>
              <w:t>concerning the need for addition</w:t>
            </w:r>
            <w:r w:rsidR="00485458">
              <w:t>al</w:t>
            </w:r>
            <w:r>
              <w:t xml:space="preserve"> service and </w:t>
            </w:r>
            <w:r w:rsidR="00725475">
              <w:t xml:space="preserve">the requirement for the PUC to consider </w:t>
            </w:r>
            <w:r w:rsidR="00485458">
              <w:t xml:space="preserve">additional </w:t>
            </w:r>
            <w:r w:rsidR="00725475">
              <w:t>load currently seeking interconnection</w:t>
            </w:r>
            <w:r w:rsidR="00485458">
              <w:t>, the</w:t>
            </w:r>
            <w:r w:rsidR="00B66D82">
              <w:t xml:space="preserve"> </w:t>
            </w:r>
            <w:r w:rsidR="00485458">
              <w:t xml:space="preserve">additional </w:t>
            </w:r>
            <w:r w:rsidR="00B66D82">
              <w:t>load</w:t>
            </w:r>
            <w:r w:rsidR="00CC1E4F">
              <w:t xml:space="preserve"> </w:t>
            </w:r>
            <w:r w:rsidR="00485458">
              <w:t xml:space="preserve">currently seeking interconnection </w:t>
            </w:r>
            <w:r w:rsidR="00102103">
              <w:t xml:space="preserve">also </w:t>
            </w:r>
            <w:r w:rsidR="00485458">
              <w:t xml:space="preserve">includes load </w:t>
            </w:r>
            <w:r>
              <w:t xml:space="preserve">for which the </w:t>
            </w:r>
            <w:r w:rsidRPr="00514A60">
              <w:t>electric utility has yet to sign an interconnection agreement, as determined by the electric utility with the responsibility for serving the load.</w:t>
            </w:r>
          </w:p>
          <w:p w14:paraId="50C0F9A4" w14:textId="742068D2" w:rsidR="008423E4" w:rsidRPr="00EE0FD4" w:rsidRDefault="00D97A02" w:rsidP="00D21A4A">
            <w:pPr>
              <w:pStyle w:val="Header"/>
              <w:tabs>
                <w:tab w:val="clear" w:pos="4320"/>
                <w:tab w:val="clear" w:pos="8640"/>
                <w:tab w:val="center" w:pos="4565"/>
              </w:tabs>
              <w:jc w:val="both"/>
              <w:rPr>
                <w:bCs/>
              </w:rPr>
            </w:pPr>
            <w:r>
              <w:rPr>
                <w:bCs/>
              </w:rPr>
              <w:t xml:space="preserve">The bill </w:t>
            </w:r>
            <w:r w:rsidR="0075181E" w:rsidRPr="0075181E">
              <w:rPr>
                <w:bCs/>
              </w:rPr>
              <w:t>expedite</w:t>
            </w:r>
            <w:r w:rsidR="0075181E">
              <w:rPr>
                <w:bCs/>
              </w:rPr>
              <w:t>s</w:t>
            </w:r>
            <w:r w:rsidR="0075181E" w:rsidRPr="0075181E">
              <w:rPr>
                <w:bCs/>
              </w:rPr>
              <w:t xml:space="preserve"> the processing of applications for certificates of convenience and necessity for new transmission facilities </w:t>
            </w:r>
            <w:r w:rsidR="0075181E">
              <w:rPr>
                <w:bCs/>
              </w:rPr>
              <w:t xml:space="preserve">by </w:t>
            </w:r>
            <w:r>
              <w:rPr>
                <w:bCs/>
              </w:rPr>
              <w:t>chang</w:t>
            </w:r>
            <w:r w:rsidR="0075181E">
              <w:rPr>
                <w:bCs/>
              </w:rPr>
              <w:t>ing</w:t>
            </w:r>
            <w:r>
              <w:rPr>
                <w:bCs/>
              </w:rPr>
              <w:t xml:space="preserve"> the</w:t>
            </w:r>
            <w:r w:rsidR="0075181E">
              <w:rPr>
                <w:bCs/>
              </w:rPr>
              <w:t xml:space="preserve"> general</w:t>
            </w:r>
            <w:r>
              <w:rPr>
                <w:bCs/>
              </w:rPr>
              <w:t xml:space="preserve"> deadline for the PUC </w:t>
            </w:r>
            <w:r w:rsidR="0075181E">
              <w:rPr>
                <w:bCs/>
              </w:rPr>
              <w:t xml:space="preserve">to </w:t>
            </w:r>
            <w:r w:rsidRPr="0073454E">
              <w:rPr>
                <w:bCs/>
              </w:rPr>
              <w:t xml:space="preserve">approve or deny an application </w:t>
            </w:r>
            <w:r>
              <w:rPr>
                <w:bCs/>
              </w:rPr>
              <w:t xml:space="preserve">from </w:t>
            </w:r>
            <w:r w:rsidR="00345ACE">
              <w:rPr>
                <w:bCs/>
              </w:rPr>
              <w:t xml:space="preserve">not later than </w:t>
            </w:r>
            <w:r>
              <w:rPr>
                <w:bCs/>
              </w:rPr>
              <w:t xml:space="preserve">the first anniversary </w:t>
            </w:r>
            <w:r w:rsidR="0075181E">
              <w:rPr>
                <w:bCs/>
              </w:rPr>
              <w:t>of</w:t>
            </w:r>
            <w:r>
              <w:rPr>
                <w:bCs/>
              </w:rPr>
              <w:t xml:space="preserve"> the date the applicati</w:t>
            </w:r>
            <w:r>
              <w:rPr>
                <w:bCs/>
              </w:rPr>
              <w:t>on is filed</w:t>
            </w:r>
            <w:r w:rsidR="0075181E">
              <w:rPr>
                <w:bCs/>
              </w:rPr>
              <w:t xml:space="preserve"> to </w:t>
            </w:r>
            <w:r w:rsidR="00345ACE">
              <w:rPr>
                <w:bCs/>
              </w:rPr>
              <w:t xml:space="preserve">not later than </w:t>
            </w:r>
            <w:r w:rsidR="0075181E">
              <w:rPr>
                <w:bCs/>
              </w:rPr>
              <w:t>the 180th day after the filing date</w:t>
            </w:r>
            <w:r>
              <w:rPr>
                <w:bCs/>
              </w:rPr>
              <w:t>.</w:t>
            </w:r>
            <w:r w:rsidR="0075181E" w:rsidRPr="0075181E">
              <w:rPr>
                <w:bCs/>
              </w:rPr>
              <w:t xml:space="preserve"> </w:t>
            </w:r>
          </w:p>
          <w:p w14:paraId="21DD4842" w14:textId="77777777" w:rsidR="00514A60" w:rsidRDefault="00514A60" w:rsidP="00D21A4A">
            <w:pPr>
              <w:pStyle w:val="Header"/>
              <w:tabs>
                <w:tab w:val="clear" w:pos="4320"/>
                <w:tab w:val="clear" w:pos="8640"/>
                <w:tab w:val="center" w:pos="4565"/>
              </w:tabs>
              <w:jc w:val="both"/>
              <w:rPr>
                <w:b/>
              </w:rPr>
            </w:pPr>
          </w:p>
          <w:p w14:paraId="5397181A" w14:textId="77777777" w:rsidR="00514A60" w:rsidRDefault="00D97A02" w:rsidP="00D21A4A">
            <w:pPr>
              <w:pStyle w:val="Header"/>
              <w:tabs>
                <w:tab w:val="clear" w:pos="4320"/>
                <w:tab w:val="clear" w:pos="8640"/>
                <w:tab w:val="center" w:pos="4565"/>
              </w:tabs>
              <w:jc w:val="both"/>
              <w:rPr>
                <w:bCs/>
              </w:rPr>
            </w:pPr>
            <w:r w:rsidRPr="00EE0FD4">
              <w:rPr>
                <w:bCs/>
              </w:rPr>
              <w:t>C.S.H.B</w:t>
            </w:r>
            <w:r>
              <w:rPr>
                <w:bCs/>
              </w:rPr>
              <w:t xml:space="preserve">. 5066 </w:t>
            </w:r>
            <w:r w:rsidRPr="0073454E">
              <w:rPr>
                <w:bCs/>
              </w:rPr>
              <w:t>appl</w:t>
            </w:r>
            <w:r w:rsidR="0075181E">
              <w:rPr>
                <w:bCs/>
              </w:rPr>
              <w:t>ies</w:t>
            </w:r>
            <w:r w:rsidRPr="0073454E">
              <w:rPr>
                <w:bCs/>
              </w:rPr>
              <w:t xml:space="preserve"> only to a proceeding affecting a certificate of public convenience and necessity that commences on or after the </w:t>
            </w:r>
            <w:r>
              <w:rPr>
                <w:bCs/>
              </w:rPr>
              <w:t xml:space="preserve">bill's </w:t>
            </w:r>
            <w:r w:rsidRPr="0073454E">
              <w:rPr>
                <w:bCs/>
              </w:rPr>
              <w:t>effective date</w:t>
            </w:r>
            <w:r>
              <w:rPr>
                <w:bCs/>
              </w:rPr>
              <w:t>.</w:t>
            </w:r>
          </w:p>
          <w:p w14:paraId="1CFBCE2D" w14:textId="015922C2" w:rsidR="00FD3F5F" w:rsidRPr="00835628" w:rsidRDefault="00FD3F5F" w:rsidP="00D21A4A">
            <w:pPr>
              <w:pStyle w:val="Header"/>
              <w:tabs>
                <w:tab w:val="clear" w:pos="4320"/>
                <w:tab w:val="clear" w:pos="8640"/>
                <w:tab w:val="center" w:pos="4565"/>
              </w:tabs>
              <w:jc w:val="both"/>
              <w:rPr>
                <w:b/>
              </w:rPr>
            </w:pPr>
          </w:p>
        </w:tc>
      </w:tr>
      <w:tr w:rsidR="0046474E" w14:paraId="37D4202C" w14:textId="77777777" w:rsidTr="00345119">
        <w:tc>
          <w:tcPr>
            <w:tcW w:w="9576" w:type="dxa"/>
          </w:tcPr>
          <w:p w14:paraId="31C13950" w14:textId="77777777" w:rsidR="008423E4" w:rsidRPr="00A8133F" w:rsidRDefault="00D97A02" w:rsidP="00D21A4A">
            <w:pPr>
              <w:rPr>
                <w:b/>
              </w:rPr>
            </w:pPr>
            <w:r w:rsidRPr="009C1E9A">
              <w:rPr>
                <w:b/>
                <w:u w:val="single"/>
              </w:rPr>
              <w:t>EFFECTIVE DATE</w:t>
            </w:r>
            <w:r>
              <w:rPr>
                <w:b/>
              </w:rPr>
              <w:t xml:space="preserve"> </w:t>
            </w:r>
          </w:p>
          <w:p w14:paraId="5CC081CA" w14:textId="77777777" w:rsidR="008423E4" w:rsidRDefault="008423E4" w:rsidP="00D21A4A"/>
          <w:p w14:paraId="603FF70D" w14:textId="095A4A4E" w:rsidR="008423E4" w:rsidRPr="003624F2" w:rsidRDefault="00D97A02" w:rsidP="00D21A4A">
            <w:pPr>
              <w:pStyle w:val="Header"/>
              <w:tabs>
                <w:tab w:val="clear" w:pos="4320"/>
                <w:tab w:val="clear" w:pos="8640"/>
              </w:tabs>
              <w:jc w:val="both"/>
            </w:pPr>
            <w:r>
              <w:t xml:space="preserve">On </w:t>
            </w:r>
            <w:r>
              <w:t>passage, or, if the bill does not receive the necessary vote, September 1, 2023.</w:t>
            </w:r>
          </w:p>
          <w:p w14:paraId="10F5914E" w14:textId="77777777" w:rsidR="008423E4" w:rsidRPr="00233FDB" w:rsidRDefault="008423E4" w:rsidP="00D21A4A">
            <w:pPr>
              <w:rPr>
                <w:b/>
              </w:rPr>
            </w:pPr>
          </w:p>
        </w:tc>
      </w:tr>
      <w:tr w:rsidR="0046474E" w14:paraId="74C575E2" w14:textId="77777777" w:rsidTr="00345119">
        <w:tc>
          <w:tcPr>
            <w:tcW w:w="9576" w:type="dxa"/>
          </w:tcPr>
          <w:p w14:paraId="51E270C6" w14:textId="77777777" w:rsidR="00990089" w:rsidRDefault="00D97A02" w:rsidP="00D21A4A">
            <w:pPr>
              <w:jc w:val="both"/>
              <w:rPr>
                <w:b/>
                <w:u w:val="single"/>
              </w:rPr>
            </w:pPr>
            <w:r>
              <w:rPr>
                <w:b/>
                <w:u w:val="single"/>
              </w:rPr>
              <w:t>COMPARISON OF INTRODUCED AND SUBSTITUTE</w:t>
            </w:r>
          </w:p>
          <w:p w14:paraId="46DA5164" w14:textId="77777777" w:rsidR="00131961" w:rsidRDefault="00131961" w:rsidP="00D21A4A">
            <w:pPr>
              <w:jc w:val="both"/>
              <w:rPr>
                <w:b/>
                <w:u w:val="single"/>
              </w:rPr>
            </w:pPr>
          </w:p>
          <w:p w14:paraId="40714557" w14:textId="77777777" w:rsidR="003E5777" w:rsidRDefault="00D97A02" w:rsidP="00D21A4A">
            <w:pPr>
              <w:jc w:val="both"/>
            </w:pPr>
            <w:r>
              <w:t>While C.S.H.B. 5066 may differ from the introduced in minor or nonsubstantive ways, the following summarizes the substantial differe</w:t>
            </w:r>
            <w:r>
              <w:t>nces between the introduced and committee substitute versions of the bill.</w:t>
            </w:r>
          </w:p>
          <w:p w14:paraId="547DF68B" w14:textId="77777777" w:rsidR="003E5777" w:rsidRDefault="003E5777" w:rsidP="00D21A4A">
            <w:pPr>
              <w:jc w:val="both"/>
            </w:pPr>
          </w:p>
          <w:p w14:paraId="7F680776" w14:textId="77777777" w:rsidR="003E5777" w:rsidRDefault="00D97A02" w:rsidP="00D21A4A">
            <w:pPr>
              <w:jc w:val="both"/>
            </w:pPr>
            <w:r>
              <w:t>With respect to</w:t>
            </w:r>
            <w:r w:rsidRPr="00B53ED4">
              <w:t xml:space="preserve"> </w:t>
            </w:r>
            <w:r>
              <w:t>the</w:t>
            </w:r>
            <w:r w:rsidRPr="00B53ED4">
              <w:t xml:space="preserve"> provision</w:t>
            </w:r>
            <w:r>
              <w:t>s</w:t>
            </w:r>
            <w:r w:rsidRPr="00B53ED4">
              <w:t xml:space="preserve"> in the introduced regarding </w:t>
            </w:r>
            <w:r>
              <w:t xml:space="preserve">the requirement for the PUC to develop and implement a reliability plan for a region with rapid electrical load growth, the substitute does the following: </w:t>
            </w:r>
          </w:p>
          <w:p w14:paraId="54F33952" w14:textId="77777777" w:rsidR="003E5777" w:rsidRDefault="00D97A02" w:rsidP="00D21A4A">
            <w:pPr>
              <w:pStyle w:val="ListParagraph"/>
              <w:numPr>
                <w:ilvl w:val="0"/>
                <w:numId w:val="4"/>
              </w:numPr>
              <w:contextualSpacing w:val="0"/>
              <w:jc w:val="both"/>
            </w:pPr>
            <w:r>
              <w:t>clarifies that the entity determining a given region's existing and forecasted electrical load is th</w:t>
            </w:r>
            <w:r>
              <w:t>e certified transmission service provider, whereas in the introduced that entity was the certified utility;</w:t>
            </w:r>
          </w:p>
          <w:p w14:paraId="11EAD795" w14:textId="77777777" w:rsidR="003E5777" w:rsidRDefault="00D97A02" w:rsidP="00D21A4A">
            <w:pPr>
              <w:pStyle w:val="ListParagraph"/>
              <w:numPr>
                <w:ilvl w:val="0"/>
                <w:numId w:val="4"/>
              </w:numPr>
              <w:contextualSpacing w:val="0"/>
              <w:jc w:val="both"/>
            </w:pPr>
            <w:r>
              <w:t xml:space="preserve">requires such a plan to </w:t>
            </w:r>
            <w:r w:rsidRPr="00B53ED4">
              <w:t>serve</w:t>
            </w:r>
            <w:r>
              <w:t xml:space="preserve"> both</w:t>
            </w:r>
            <w:r w:rsidRPr="00B53ED4">
              <w:t xml:space="preserve"> existing and forecasted electrical load in the identified region</w:t>
            </w:r>
            <w:r>
              <w:t>, instead of forecasted customer demand as in the</w:t>
            </w:r>
            <w:r>
              <w:t xml:space="preserve"> introduced; and</w:t>
            </w:r>
          </w:p>
          <w:p w14:paraId="795D2BF8" w14:textId="77777777" w:rsidR="003E5777" w:rsidRDefault="00D97A02" w:rsidP="00D21A4A">
            <w:pPr>
              <w:pStyle w:val="ListParagraph"/>
              <w:numPr>
                <w:ilvl w:val="0"/>
                <w:numId w:val="4"/>
              </w:numPr>
              <w:contextualSpacing w:val="0"/>
              <w:jc w:val="both"/>
            </w:pPr>
            <w:r>
              <w:t>revises the requirement in the introduced for the plan to include considerations to ensure timely planning and approval of necessary transmission improvements by requiring the plan also to ensure timely identification of necessary transmis</w:t>
            </w:r>
            <w:r>
              <w:t xml:space="preserve">sion service improvements and by including a specification that such planning, identification, and approval of the improvements are under existing rules. </w:t>
            </w:r>
          </w:p>
          <w:p w14:paraId="066CB5D2" w14:textId="77777777" w:rsidR="003E5777" w:rsidRDefault="00D97A02" w:rsidP="00D21A4A">
            <w:pPr>
              <w:jc w:val="both"/>
            </w:pPr>
            <w:r w:rsidRPr="001A46DF">
              <w:t>The substitute includes requirement</w:t>
            </w:r>
            <w:r>
              <w:t>s for the contents of the reliability plan for the Permian Basin r</w:t>
            </w:r>
            <w:r>
              <w:t>egion and an expiration date for the provisions related to that plan, whereas the introduced did not.</w:t>
            </w:r>
          </w:p>
          <w:p w14:paraId="1387DBFC" w14:textId="77777777" w:rsidR="003E5777" w:rsidRDefault="003E5777" w:rsidP="00D21A4A">
            <w:pPr>
              <w:jc w:val="both"/>
            </w:pPr>
          </w:p>
          <w:p w14:paraId="5E0F09D8" w14:textId="77777777" w:rsidR="003E5777" w:rsidRDefault="00D97A02" w:rsidP="00D21A4A">
            <w:pPr>
              <w:jc w:val="both"/>
            </w:pPr>
            <w:r w:rsidRPr="00F74F4B">
              <w:t>The substitute includes</w:t>
            </w:r>
            <w:r>
              <w:t xml:space="preserve"> a</w:t>
            </w:r>
            <w:r w:rsidRPr="00F74F4B">
              <w:t xml:space="preserve"> provision that </w:t>
            </w:r>
            <w:r>
              <w:t>was</w:t>
            </w:r>
            <w:r w:rsidRPr="00F74F4B">
              <w:t xml:space="preserve"> not in the introduced </w:t>
            </w:r>
            <w:r>
              <w:t>expediting the processing by the PUC of</w:t>
            </w:r>
            <w:r w:rsidRPr="00F74F4B">
              <w:t xml:space="preserve"> application</w:t>
            </w:r>
            <w:r>
              <w:t>s</w:t>
            </w:r>
            <w:r w:rsidRPr="00F74F4B">
              <w:t xml:space="preserve"> for certificate</w:t>
            </w:r>
            <w:r>
              <w:t>s of convenience a</w:t>
            </w:r>
            <w:r>
              <w:t>nd necessity</w:t>
            </w:r>
            <w:r w:rsidRPr="00F74F4B">
              <w:t xml:space="preserve"> for new transmission facilit</w:t>
            </w:r>
            <w:r>
              <w:t>ies. In addition, t</w:t>
            </w:r>
            <w:r w:rsidRPr="001A46DF">
              <w:t xml:space="preserve">he substitute includes </w:t>
            </w:r>
            <w:r>
              <w:t xml:space="preserve">a procedural provision absent from the introduced specifying that the bill's provisions apply only to </w:t>
            </w:r>
            <w:r w:rsidRPr="001A46DF">
              <w:t>a proceeding affecting a certificate of public convenience and necessit</w:t>
            </w:r>
            <w:r w:rsidRPr="001A46DF">
              <w:t>y that commences on or after the</w:t>
            </w:r>
            <w:r>
              <w:t xml:space="preserve"> bill's</w:t>
            </w:r>
            <w:r w:rsidRPr="001A46DF">
              <w:t xml:space="preserve"> effective date.</w:t>
            </w:r>
            <w:r>
              <w:t xml:space="preserve"> </w:t>
            </w:r>
          </w:p>
          <w:p w14:paraId="01F97F43" w14:textId="77777777" w:rsidR="003E5777" w:rsidRDefault="003E5777" w:rsidP="00D21A4A">
            <w:pPr>
              <w:jc w:val="both"/>
            </w:pPr>
          </w:p>
          <w:p w14:paraId="2EFB2BA0" w14:textId="5B93CE02" w:rsidR="003E5777" w:rsidRPr="00990089" w:rsidRDefault="00D97A02" w:rsidP="00D21A4A">
            <w:pPr>
              <w:jc w:val="both"/>
              <w:rPr>
                <w:b/>
                <w:u w:val="single"/>
              </w:rPr>
            </w:pPr>
            <w:r>
              <w:t xml:space="preserve">The substitute includes a provision absent from the introduced requiring the PUC, in considering </w:t>
            </w:r>
            <w:r w:rsidRPr="0074531A">
              <w:t xml:space="preserve">the need </w:t>
            </w:r>
            <w:r>
              <w:t>for</w:t>
            </w:r>
            <w:r w:rsidRPr="0074531A">
              <w:t xml:space="preserve"> extend</w:t>
            </w:r>
            <w:r>
              <w:t>ing</w:t>
            </w:r>
            <w:r w:rsidRPr="0074531A">
              <w:t xml:space="preserve"> transmission service where existing and projected </w:t>
            </w:r>
            <w:r>
              <w:t xml:space="preserve">electrical </w:t>
            </w:r>
            <w:r w:rsidRPr="0074531A">
              <w:t>load</w:t>
            </w:r>
            <w:r>
              <w:t>s</w:t>
            </w:r>
            <w:r w:rsidRPr="0074531A">
              <w:t xml:space="preserve"> </w:t>
            </w:r>
            <w:r>
              <w:t xml:space="preserve">will </w:t>
            </w:r>
            <w:r w:rsidRPr="0074531A">
              <w:t>be underserved</w:t>
            </w:r>
            <w:r>
              <w:t xml:space="preserve"> when determining whether to approve or deny an application for a certificate of convenience and necessity, to consider the historical load, forecasted load growth, and </w:t>
            </w:r>
            <w:r>
              <w:t>additional load currently seeking interconnection, including load for which the electric utility has yet to sign an interconnection agreement, as determined by the electric utility with the responsibility for serving the load.</w:t>
            </w:r>
          </w:p>
        </w:tc>
      </w:tr>
      <w:tr w:rsidR="0046474E" w14:paraId="36118A34" w14:textId="77777777" w:rsidTr="00345119">
        <w:tc>
          <w:tcPr>
            <w:tcW w:w="9576" w:type="dxa"/>
          </w:tcPr>
          <w:p w14:paraId="30BF4D9F" w14:textId="77777777" w:rsidR="00F37252" w:rsidRPr="009C1E9A" w:rsidRDefault="00F37252" w:rsidP="00D21A4A">
            <w:pPr>
              <w:rPr>
                <w:b/>
                <w:u w:val="single"/>
              </w:rPr>
            </w:pPr>
          </w:p>
        </w:tc>
      </w:tr>
      <w:tr w:rsidR="0046474E" w14:paraId="55A10FC2" w14:textId="77777777" w:rsidTr="00345119">
        <w:tc>
          <w:tcPr>
            <w:tcW w:w="9576" w:type="dxa"/>
          </w:tcPr>
          <w:p w14:paraId="5E57493A" w14:textId="77777777" w:rsidR="00F37252" w:rsidRPr="00990089" w:rsidRDefault="00F37252" w:rsidP="00D21A4A">
            <w:pPr>
              <w:jc w:val="both"/>
            </w:pPr>
          </w:p>
        </w:tc>
      </w:tr>
      <w:tr w:rsidR="0046474E" w14:paraId="3EEE423A" w14:textId="77777777" w:rsidTr="00345119">
        <w:tc>
          <w:tcPr>
            <w:tcW w:w="9576" w:type="dxa"/>
          </w:tcPr>
          <w:p w14:paraId="53DC2117" w14:textId="77777777" w:rsidR="00990089" w:rsidRPr="00F37252" w:rsidRDefault="00990089" w:rsidP="00D21A4A">
            <w:pPr>
              <w:jc w:val="both"/>
            </w:pPr>
          </w:p>
        </w:tc>
      </w:tr>
      <w:tr w:rsidR="0046474E" w14:paraId="338096B8" w14:textId="77777777" w:rsidTr="00345119">
        <w:tc>
          <w:tcPr>
            <w:tcW w:w="9576" w:type="dxa"/>
          </w:tcPr>
          <w:p w14:paraId="31AF774D" w14:textId="77777777" w:rsidR="00990089" w:rsidRPr="00F37252" w:rsidRDefault="00990089" w:rsidP="00D21A4A">
            <w:pPr>
              <w:jc w:val="both"/>
            </w:pPr>
          </w:p>
        </w:tc>
      </w:tr>
      <w:tr w:rsidR="0046474E" w14:paraId="6260CAA8" w14:textId="77777777" w:rsidTr="00345119">
        <w:tc>
          <w:tcPr>
            <w:tcW w:w="9576" w:type="dxa"/>
          </w:tcPr>
          <w:p w14:paraId="1500FFC4" w14:textId="77777777" w:rsidR="00990089" w:rsidRPr="00F37252" w:rsidRDefault="00990089" w:rsidP="00D21A4A">
            <w:pPr>
              <w:jc w:val="both"/>
            </w:pPr>
          </w:p>
        </w:tc>
      </w:tr>
    </w:tbl>
    <w:p w14:paraId="5FE312B9" w14:textId="77777777" w:rsidR="008423E4" w:rsidRPr="00BE0E75" w:rsidRDefault="008423E4" w:rsidP="00D21A4A">
      <w:pPr>
        <w:jc w:val="both"/>
        <w:rPr>
          <w:rFonts w:ascii="Arial" w:hAnsi="Arial"/>
          <w:sz w:val="16"/>
          <w:szCs w:val="16"/>
        </w:rPr>
      </w:pPr>
    </w:p>
    <w:p w14:paraId="25521BC6" w14:textId="77777777" w:rsidR="004108C3" w:rsidRPr="008423E4" w:rsidRDefault="004108C3" w:rsidP="00D21A4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228F" w14:textId="77777777" w:rsidR="00000000" w:rsidRDefault="00D97A02">
      <w:r>
        <w:separator/>
      </w:r>
    </w:p>
  </w:endnote>
  <w:endnote w:type="continuationSeparator" w:id="0">
    <w:p w14:paraId="702E9B75" w14:textId="77777777" w:rsidR="00000000" w:rsidRDefault="00D9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A1F1" w14:textId="77777777" w:rsidR="00EF1A5F" w:rsidRDefault="00EF1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46474E" w14:paraId="4EBAF973" w14:textId="77777777" w:rsidTr="009C1E9A">
      <w:trPr>
        <w:cantSplit/>
      </w:trPr>
      <w:tc>
        <w:tcPr>
          <w:tcW w:w="0" w:type="pct"/>
        </w:tcPr>
        <w:p w14:paraId="0E5CA9E0" w14:textId="77777777" w:rsidR="00137D90" w:rsidRDefault="00137D90" w:rsidP="009C1E9A">
          <w:pPr>
            <w:pStyle w:val="Footer"/>
            <w:tabs>
              <w:tab w:val="clear" w:pos="8640"/>
              <w:tab w:val="right" w:pos="9360"/>
            </w:tabs>
          </w:pPr>
        </w:p>
      </w:tc>
      <w:tc>
        <w:tcPr>
          <w:tcW w:w="2395" w:type="pct"/>
        </w:tcPr>
        <w:p w14:paraId="13EDB5FE" w14:textId="77777777" w:rsidR="00137D90" w:rsidRDefault="00137D90" w:rsidP="009C1E9A">
          <w:pPr>
            <w:pStyle w:val="Footer"/>
            <w:tabs>
              <w:tab w:val="clear" w:pos="8640"/>
              <w:tab w:val="right" w:pos="9360"/>
            </w:tabs>
          </w:pPr>
        </w:p>
        <w:p w14:paraId="216B8CEB" w14:textId="77777777" w:rsidR="001A4310" w:rsidRDefault="001A4310" w:rsidP="009C1E9A">
          <w:pPr>
            <w:pStyle w:val="Footer"/>
            <w:tabs>
              <w:tab w:val="clear" w:pos="8640"/>
              <w:tab w:val="right" w:pos="9360"/>
            </w:tabs>
          </w:pPr>
        </w:p>
        <w:p w14:paraId="3609DD54" w14:textId="77777777" w:rsidR="00137D90" w:rsidRDefault="00137D90" w:rsidP="009C1E9A">
          <w:pPr>
            <w:pStyle w:val="Footer"/>
            <w:tabs>
              <w:tab w:val="clear" w:pos="8640"/>
              <w:tab w:val="right" w:pos="9360"/>
            </w:tabs>
          </w:pPr>
        </w:p>
      </w:tc>
      <w:tc>
        <w:tcPr>
          <w:tcW w:w="2453" w:type="pct"/>
        </w:tcPr>
        <w:p w14:paraId="337C9DB5" w14:textId="77777777" w:rsidR="00137D90" w:rsidRDefault="00137D90" w:rsidP="009C1E9A">
          <w:pPr>
            <w:pStyle w:val="Footer"/>
            <w:tabs>
              <w:tab w:val="clear" w:pos="8640"/>
              <w:tab w:val="right" w:pos="9360"/>
            </w:tabs>
            <w:jc w:val="right"/>
          </w:pPr>
        </w:p>
      </w:tc>
    </w:tr>
    <w:tr w:rsidR="0046474E" w14:paraId="5B68D1A5" w14:textId="77777777" w:rsidTr="009C1E9A">
      <w:trPr>
        <w:cantSplit/>
      </w:trPr>
      <w:tc>
        <w:tcPr>
          <w:tcW w:w="0" w:type="pct"/>
        </w:tcPr>
        <w:p w14:paraId="7600A2AA" w14:textId="77777777" w:rsidR="00EC379B" w:rsidRDefault="00EC379B" w:rsidP="009C1E9A">
          <w:pPr>
            <w:pStyle w:val="Footer"/>
            <w:tabs>
              <w:tab w:val="clear" w:pos="8640"/>
              <w:tab w:val="right" w:pos="9360"/>
            </w:tabs>
          </w:pPr>
        </w:p>
      </w:tc>
      <w:tc>
        <w:tcPr>
          <w:tcW w:w="2395" w:type="pct"/>
        </w:tcPr>
        <w:p w14:paraId="116D578F" w14:textId="56B57834" w:rsidR="00EC379B" w:rsidRPr="009C1E9A" w:rsidRDefault="00D97A02" w:rsidP="009C1E9A">
          <w:pPr>
            <w:pStyle w:val="Footer"/>
            <w:tabs>
              <w:tab w:val="clear" w:pos="8640"/>
              <w:tab w:val="right" w:pos="9360"/>
            </w:tabs>
            <w:rPr>
              <w:rFonts w:ascii="Shruti" w:hAnsi="Shruti"/>
              <w:sz w:val="22"/>
            </w:rPr>
          </w:pPr>
          <w:r>
            <w:rPr>
              <w:rFonts w:ascii="Shruti" w:hAnsi="Shruti"/>
              <w:sz w:val="22"/>
            </w:rPr>
            <w:t>88R 26019-D</w:t>
          </w:r>
        </w:p>
      </w:tc>
      <w:tc>
        <w:tcPr>
          <w:tcW w:w="2453" w:type="pct"/>
        </w:tcPr>
        <w:p w14:paraId="2AC4CFE8" w14:textId="6F466AC7" w:rsidR="00EC379B" w:rsidRDefault="00D97A02" w:rsidP="009C1E9A">
          <w:pPr>
            <w:pStyle w:val="Footer"/>
            <w:tabs>
              <w:tab w:val="clear" w:pos="8640"/>
              <w:tab w:val="right" w:pos="9360"/>
            </w:tabs>
            <w:jc w:val="right"/>
          </w:pPr>
          <w:r>
            <w:fldChar w:fldCharType="begin"/>
          </w:r>
          <w:r>
            <w:instrText xml:space="preserve"> DOCPROPERTY  OTID  \* MERGEFORMAT </w:instrText>
          </w:r>
          <w:r>
            <w:fldChar w:fldCharType="separate"/>
          </w:r>
          <w:r w:rsidR="00496138">
            <w:t>23.114.980</w:t>
          </w:r>
          <w:r>
            <w:fldChar w:fldCharType="end"/>
          </w:r>
        </w:p>
      </w:tc>
    </w:tr>
    <w:tr w:rsidR="0046474E" w14:paraId="73D6270C" w14:textId="77777777" w:rsidTr="009C1E9A">
      <w:trPr>
        <w:cantSplit/>
      </w:trPr>
      <w:tc>
        <w:tcPr>
          <w:tcW w:w="0" w:type="pct"/>
        </w:tcPr>
        <w:p w14:paraId="5F3F8307" w14:textId="77777777" w:rsidR="00EC379B" w:rsidRDefault="00EC379B" w:rsidP="009C1E9A">
          <w:pPr>
            <w:pStyle w:val="Footer"/>
            <w:tabs>
              <w:tab w:val="clear" w:pos="4320"/>
              <w:tab w:val="clear" w:pos="8640"/>
              <w:tab w:val="left" w:pos="2865"/>
            </w:tabs>
          </w:pPr>
        </w:p>
      </w:tc>
      <w:tc>
        <w:tcPr>
          <w:tcW w:w="2395" w:type="pct"/>
        </w:tcPr>
        <w:p w14:paraId="22928673" w14:textId="22498C4E" w:rsidR="00EC379B" w:rsidRPr="009C1E9A" w:rsidRDefault="00D97A02" w:rsidP="009C1E9A">
          <w:pPr>
            <w:pStyle w:val="Footer"/>
            <w:tabs>
              <w:tab w:val="clear" w:pos="4320"/>
              <w:tab w:val="clear" w:pos="8640"/>
              <w:tab w:val="left" w:pos="2865"/>
            </w:tabs>
            <w:rPr>
              <w:rFonts w:ascii="Shruti" w:hAnsi="Shruti"/>
              <w:sz w:val="22"/>
            </w:rPr>
          </w:pPr>
          <w:r>
            <w:rPr>
              <w:rFonts w:ascii="Shruti" w:hAnsi="Shruti"/>
              <w:sz w:val="22"/>
            </w:rPr>
            <w:t>Substitute Document Number: 88R 21932</w:t>
          </w:r>
        </w:p>
      </w:tc>
      <w:tc>
        <w:tcPr>
          <w:tcW w:w="2453" w:type="pct"/>
        </w:tcPr>
        <w:p w14:paraId="6A3CBA9F" w14:textId="77777777" w:rsidR="00EC379B" w:rsidRDefault="00EC379B" w:rsidP="006D504F">
          <w:pPr>
            <w:pStyle w:val="Footer"/>
            <w:rPr>
              <w:rStyle w:val="PageNumber"/>
            </w:rPr>
          </w:pPr>
        </w:p>
        <w:p w14:paraId="36D06597" w14:textId="77777777" w:rsidR="00EC379B" w:rsidRDefault="00EC379B" w:rsidP="009C1E9A">
          <w:pPr>
            <w:pStyle w:val="Footer"/>
            <w:tabs>
              <w:tab w:val="clear" w:pos="8640"/>
              <w:tab w:val="right" w:pos="9360"/>
            </w:tabs>
            <w:jc w:val="right"/>
          </w:pPr>
        </w:p>
      </w:tc>
    </w:tr>
    <w:tr w:rsidR="0046474E" w14:paraId="7AB9B994" w14:textId="77777777" w:rsidTr="009C1E9A">
      <w:trPr>
        <w:cantSplit/>
        <w:trHeight w:val="323"/>
      </w:trPr>
      <w:tc>
        <w:tcPr>
          <w:tcW w:w="0" w:type="pct"/>
          <w:gridSpan w:val="3"/>
        </w:tcPr>
        <w:p w14:paraId="79A4E55A" w14:textId="77777777" w:rsidR="00EC379B" w:rsidRDefault="00D97A0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45FFA069" w14:textId="77777777" w:rsidR="00EC379B" w:rsidRDefault="00EC379B" w:rsidP="009C1E9A">
          <w:pPr>
            <w:pStyle w:val="Footer"/>
            <w:tabs>
              <w:tab w:val="clear" w:pos="8640"/>
              <w:tab w:val="right" w:pos="9360"/>
            </w:tabs>
            <w:jc w:val="center"/>
          </w:pPr>
        </w:p>
      </w:tc>
    </w:tr>
  </w:tbl>
  <w:p w14:paraId="4211500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AA12" w14:textId="77777777" w:rsidR="00EF1A5F" w:rsidRDefault="00EF1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BD45" w14:textId="77777777" w:rsidR="00000000" w:rsidRDefault="00D97A02">
      <w:r>
        <w:separator/>
      </w:r>
    </w:p>
  </w:footnote>
  <w:footnote w:type="continuationSeparator" w:id="0">
    <w:p w14:paraId="028F394F" w14:textId="77777777" w:rsidR="00000000" w:rsidRDefault="00D97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F1F7" w14:textId="77777777" w:rsidR="00EF1A5F" w:rsidRDefault="00EF1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9B31" w14:textId="77777777" w:rsidR="00EF1A5F" w:rsidRDefault="00EF1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664F" w14:textId="77777777" w:rsidR="00EF1A5F" w:rsidRDefault="00EF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5191"/>
    <w:multiLevelType w:val="hybridMultilevel"/>
    <w:tmpl w:val="E16CB140"/>
    <w:lvl w:ilvl="0" w:tplc="A0E890D4">
      <w:start w:val="1"/>
      <w:numFmt w:val="bullet"/>
      <w:lvlText w:val=""/>
      <w:lvlJc w:val="left"/>
      <w:pPr>
        <w:tabs>
          <w:tab w:val="num" w:pos="720"/>
        </w:tabs>
        <w:ind w:left="720" w:hanging="360"/>
      </w:pPr>
      <w:rPr>
        <w:rFonts w:ascii="Symbol" w:hAnsi="Symbol" w:hint="default"/>
      </w:rPr>
    </w:lvl>
    <w:lvl w:ilvl="1" w:tplc="965CBF20" w:tentative="1">
      <w:start w:val="1"/>
      <w:numFmt w:val="bullet"/>
      <w:lvlText w:val="o"/>
      <w:lvlJc w:val="left"/>
      <w:pPr>
        <w:ind w:left="1440" w:hanging="360"/>
      </w:pPr>
      <w:rPr>
        <w:rFonts w:ascii="Courier New" w:hAnsi="Courier New" w:cs="Courier New" w:hint="default"/>
      </w:rPr>
    </w:lvl>
    <w:lvl w:ilvl="2" w:tplc="D40C73DA" w:tentative="1">
      <w:start w:val="1"/>
      <w:numFmt w:val="bullet"/>
      <w:lvlText w:val=""/>
      <w:lvlJc w:val="left"/>
      <w:pPr>
        <w:ind w:left="2160" w:hanging="360"/>
      </w:pPr>
      <w:rPr>
        <w:rFonts w:ascii="Wingdings" w:hAnsi="Wingdings" w:hint="default"/>
      </w:rPr>
    </w:lvl>
    <w:lvl w:ilvl="3" w:tplc="D400ACA8" w:tentative="1">
      <w:start w:val="1"/>
      <w:numFmt w:val="bullet"/>
      <w:lvlText w:val=""/>
      <w:lvlJc w:val="left"/>
      <w:pPr>
        <w:ind w:left="2880" w:hanging="360"/>
      </w:pPr>
      <w:rPr>
        <w:rFonts w:ascii="Symbol" w:hAnsi="Symbol" w:hint="default"/>
      </w:rPr>
    </w:lvl>
    <w:lvl w:ilvl="4" w:tplc="144E35BE" w:tentative="1">
      <w:start w:val="1"/>
      <w:numFmt w:val="bullet"/>
      <w:lvlText w:val="o"/>
      <w:lvlJc w:val="left"/>
      <w:pPr>
        <w:ind w:left="3600" w:hanging="360"/>
      </w:pPr>
      <w:rPr>
        <w:rFonts w:ascii="Courier New" w:hAnsi="Courier New" w:cs="Courier New" w:hint="default"/>
      </w:rPr>
    </w:lvl>
    <w:lvl w:ilvl="5" w:tplc="320E9526" w:tentative="1">
      <w:start w:val="1"/>
      <w:numFmt w:val="bullet"/>
      <w:lvlText w:val=""/>
      <w:lvlJc w:val="left"/>
      <w:pPr>
        <w:ind w:left="4320" w:hanging="360"/>
      </w:pPr>
      <w:rPr>
        <w:rFonts w:ascii="Wingdings" w:hAnsi="Wingdings" w:hint="default"/>
      </w:rPr>
    </w:lvl>
    <w:lvl w:ilvl="6" w:tplc="3D68227E" w:tentative="1">
      <w:start w:val="1"/>
      <w:numFmt w:val="bullet"/>
      <w:lvlText w:val=""/>
      <w:lvlJc w:val="left"/>
      <w:pPr>
        <w:ind w:left="5040" w:hanging="360"/>
      </w:pPr>
      <w:rPr>
        <w:rFonts w:ascii="Symbol" w:hAnsi="Symbol" w:hint="default"/>
      </w:rPr>
    </w:lvl>
    <w:lvl w:ilvl="7" w:tplc="C05E9174" w:tentative="1">
      <w:start w:val="1"/>
      <w:numFmt w:val="bullet"/>
      <w:lvlText w:val="o"/>
      <w:lvlJc w:val="left"/>
      <w:pPr>
        <w:ind w:left="5760" w:hanging="360"/>
      </w:pPr>
      <w:rPr>
        <w:rFonts w:ascii="Courier New" w:hAnsi="Courier New" w:cs="Courier New" w:hint="default"/>
      </w:rPr>
    </w:lvl>
    <w:lvl w:ilvl="8" w:tplc="B1E6436A" w:tentative="1">
      <w:start w:val="1"/>
      <w:numFmt w:val="bullet"/>
      <w:lvlText w:val=""/>
      <w:lvlJc w:val="left"/>
      <w:pPr>
        <w:ind w:left="6480" w:hanging="360"/>
      </w:pPr>
      <w:rPr>
        <w:rFonts w:ascii="Wingdings" w:hAnsi="Wingdings" w:hint="default"/>
      </w:rPr>
    </w:lvl>
  </w:abstractNum>
  <w:abstractNum w:abstractNumId="1" w15:restartNumberingAfterBreak="0">
    <w:nsid w:val="22A14103"/>
    <w:multiLevelType w:val="hybridMultilevel"/>
    <w:tmpl w:val="B22A8228"/>
    <w:lvl w:ilvl="0" w:tplc="75BA0566">
      <w:start w:val="1"/>
      <w:numFmt w:val="bullet"/>
      <w:lvlText w:val=""/>
      <w:lvlJc w:val="left"/>
      <w:pPr>
        <w:tabs>
          <w:tab w:val="num" w:pos="720"/>
        </w:tabs>
        <w:ind w:left="720" w:hanging="360"/>
      </w:pPr>
      <w:rPr>
        <w:rFonts w:ascii="Symbol" w:hAnsi="Symbol" w:hint="default"/>
      </w:rPr>
    </w:lvl>
    <w:lvl w:ilvl="1" w:tplc="7AAEF194" w:tentative="1">
      <w:start w:val="1"/>
      <w:numFmt w:val="bullet"/>
      <w:lvlText w:val="o"/>
      <w:lvlJc w:val="left"/>
      <w:pPr>
        <w:ind w:left="1440" w:hanging="360"/>
      </w:pPr>
      <w:rPr>
        <w:rFonts w:ascii="Courier New" w:hAnsi="Courier New" w:cs="Courier New" w:hint="default"/>
      </w:rPr>
    </w:lvl>
    <w:lvl w:ilvl="2" w:tplc="73A4E2CE" w:tentative="1">
      <w:start w:val="1"/>
      <w:numFmt w:val="bullet"/>
      <w:lvlText w:val=""/>
      <w:lvlJc w:val="left"/>
      <w:pPr>
        <w:ind w:left="2160" w:hanging="360"/>
      </w:pPr>
      <w:rPr>
        <w:rFonts w:ascii="Wingdings" w:hAnsi="Wingdings" w:hint="default"/>
      </w:rPr>
    </w:lvl>
    <w:lvl w:ilvl="3" w:tplc="94F87CC8" w:tentative="1">
      <w:start w:val="1"/>
      <w:numFmt w:val="bullet"/>
      <w:lvlText w:val=""/>
      <w:lvlJc w:val="left"/>
      <w:pPr>
        <w:ind w:left="2880" w:hanging="360"/>
      </w:pPr>
      <w:rPr>
        <w:rFonts w:ascii="Symbol" w:hAnsi="Symbol" w:hint="default"/>
      </w:rPr>
    </w:lvl>
    <w:lvl w:ilvl="4" w:tplc="9A66DC96" w:tentative="1">
      <w:start w:val="1"/>
      <w:numFmt w:val="bullet"/>
      <w:lvlText w:val="o"/>
      <w:lvlJc w:val="left"/>
      <w:pPr>
        <w:ind w:left="3600" w:hanging="360"/>
      </w:pPr>
      <w:rPr>
        <w:rFonts w:ascii="Courier New" w:hAnsi="Courier New" w:cs="Courier New" w:hint="default"/>
      </w:rPr>
    </w:lvl>
    <w:lvl w:ilvl="5" w:tplc="F79CAA48" w:tentative="1">
      <w:start w:val="1"/>
      <w:numFmt w:val="bullet"/>
      <w:lvlText w:val=""/>
      <w:lvlJc w:val="left"/>
      <w:pPr>
        <w:ind w:left="4320" w:hanging="360"/>
      </w:pPr>
      <w:rPr>
        <w:rFonts w:ascii="Wingdings" w:hAnsi="Wingdings" w:hint="default"/>
      </w:rPr>
    </w:lvl>
    <w:lvl w:ilvl="6" w:tplc="1A963B8A" w:tentative="1">
      <w:start w:val="1"/>
      <w:numFmt w:val="bullet"/>
      <w:lvlText w:val=""/>
      <w:lvlJc w:val="left"/>
      <w:pPr>
        <w:ind w:left="5040" w:hanging="360"/>
      </w:pPr>
      <w:rPr>
        <w:rFonts w:ascii="Symbol" w:hAnsi="Symbol" w:hint="default"/>
      </w:rPr>
    </w:lvl>
    <w:lvl w:ilvl="7" w:tplc="9C005502" w:tentative="1">
      <w:start w:val="1"/>
      <w:numFmt w:val="bullet"/>
      <w:lvlText w:val="o"/>
      <w:lvlJc w:val="left"/>
      <w:pPr>
        <w:ind w:left="5760" w:hanging="360"/>
      </w:pPr>
      <w:rPr>
        <w:rFonts w:ascii="Courier New" w:hAnsi="Courier New" w:cs="Courier New" w:hint="default"/>
      </w:rPr>
    </w:lvl>
    <w:lvl w:ilvl="8" w:tplc="A59C0022" w:tentative="1">
      <w:start w:val="1"/>
      <w:numFmt w:val="bullet"/>
      <w:lvlText w:val=""/>
      <w:lvlJc w:val="left"/>
      <w:pPr>
        <w:ind w:left="6480" w:hanging="360"/>
      </w:pPr>
      <w:rPr>
        <w:rFonts w:ascii="Wingdings" w:hAnsi="Wingdings" w:hint="default"/>
      </w:rPr>
    </w:lvl>
  </w:abstractNum>
  <w:abstractNum w:abstractNumId="2" w15:restartNumberingAfterBreak="0">
    <w:nsid w:val="22B77A2E"/>
    <w:multiLevelType w:val="hybridMultilevel"/>
    <w:tmpl w:val="127EB210"/>
    <w:lvl w:ilvl="0" w:tplc="93E651B6">
      <w:start w:val="1"/>
      <w:numFmt w:val="bullet"/>
      <w:lvlText w:val=""/>
      <w:lvlJc w:val="left"/>
      <w:pPr>
        <w:tabs>
          <w:tab w:val="num" w:pos="720"/>
        </w:tabs>
        <w:ind w:left="720" w:hanging="360"/>
      </w:pPr>
      <w:rPr>
        <w:rFonts w:ascii="Symbol" w:hAnsi="Symbol" w:hint="default"/>
      </w:rPr>
    </w:lvl>
    <w:lvl w:ilvl="1" w:tplc="148EF072" w:tentative="1">
      <w:start w:val="1"/>
      <w:numFmt w:val="bullet"/>
      <w:lvlText w:val="o"/>
      <w:lvlJc w:val="left"/>
      <w:pPr>
        <w:ind w:left="1440" w:hanging="360"/>
      </w:pPr>
      <w:rPr>
        <w:rFonts w:ascii="Courier New" w:hAnsi="Courier New" w:cs="Courier New" w:hint="default"/>
      </w:rPr>
    </w:lvl>
    <w:lvl w:ilvl="2" w:tplc="D8B67F06" w:tentative="1">
      <w:start w:val="1"/>
      <w:numFmt w:val="bullet"/>
      <w:lvlText w:val=""/>
      <w:lvlJc w:val="left"/>
      <w:pPr>
        <w:ind w:left="2160" w:hanging="360"/>
      </w:pPr>
      <w:rPr>
        <w:rFonts w:ascii="Wingdings" w:hAnsi="Wingdings" w:hint="default"/>
      </w:rPr>
    </w:lvl>
    <w:lvl w:ilvl="3" w:tplc="6CBCDE34" w:tentative="1">
      <w:start w:val="1"/>
      <w:numFmt w:val="bullet"/>
      <w:lvlText w:val=""/>
      <w:lvlJc w:val="left"/>
      <w:pPr>
        <w:ind w:left="2880" w:hanging="360"/>
      </w:pPr>
      <w:rPr>
        <w:rFonts w:ascii="Symbol" w:hAnsi="Symbol" w:hint="default"/>
      </w:rPr>
    </w:lvl>
    <w:lvl w:ilvl="4" w:tplc="33E6509A" w:tentative="1">
      <w:start w:val="1"/>
      <w:numFmt w:val="bullet"/>
      <w:lvlText w:val="o"/>
      <w:lvlJc w:val="left"/>
      <w:pPr>
        <w:ind w:left="3600" w:hanging="360"/>
      </w:pPr>
      <w:rPr>
        <w:rFonts w:ascii="Courier New" w:hAnsi="Courier New" w:cs="Courier New" w:hint="default"/>
      </w:rPr>
    </w:lvl>
    <w:lvl w:ilvl="5" w:tplc="B4CA4DAA" w:tentative="1">
      <w:start w:val="1"/>
      <w:numFmt w:val="bullet"/>
      <w:lvlText w:val=""/>
      <w:lvlJc w:val="left"/>
      <w:pPr>
        <w:ind w:left="4320" w:hanging="360"/>
      </w:pPr>
      <w:rPr>
        <w:rFonts w:ascii="Wingdings" w:hAnsi="Wingdings" w:hint="default"/>
      </w:rPr>
    </w:lvl>
    <w:lvl w:ilvl="6" w:tplc="FB384036" w:tentative="1">
      <w:start w:val="1"/>
      <w:numFmt w:val="bullet"/>
      <w:lvlText w:val=""/>
      <w:lvlJc w:val="left"/>
      <w:pPr>
        <w:ind w:left="5040" w:hanging="360"/>
      </w:pPr>
      <w:rPr>
        <w:rFonts w:ascii="Symbol" w:hAnsi="Symbol" w:hint="default"/>
      </w:rPr>
    </w:lvl>
    <w:lvl w:ilvl="7" w:tplc="BD8C3682" w:tentative="1">
      <w:start w:val="1"/>
      <w:numFmt w:val="bullet"/>
      <w:lvlText w:val="o"/>
      <w:lvlJc w:val="left"/>
      <w:pPr>
        <w:ind w:left="5760" w:hanging="360"/>
      </w:pPr>
      <w:rPr>
        <w:rFonts w:ascii="Courier New" w:hAnsi="Courier New" w:cs="Courier New" w:hint="default"/>
      </w:rPr>
    </w:lvl>
    <w:lvl w:ilvl="8" w:tplc="87EA7E2C" w:tentative="1">
      <w:start w:val="1"/>
      <w:numFmt w:val="bullet"/>
      <w:lvlText w:val=""/>
      <w:lvlJc w:val="left"/>
      <w:pPr>
        <w:ind w:left="6480" w:hanging="360"/>
      </w:pPr>
      <w:rPr>
        <w:rFonts w:ascii="Wingdings" w:hAnsi="Wingdings" w:hint="default"/>
      </w:rPr>
    </w:lvl>
  </w:abstractNum>
  <w:abstractNum w:abstractNumId="3" w15:restartNumberingAfterBreak="0">
    <w:nsid w:val="54EE7D78"/>
    <w:multiLevelType w:val="hybridMultilevel"/>
    <w:tmpl w:val="5582B594"/>
    <w:lvl w:ilvl="0" w:tplc="54DE5AA4">
      <w:start w:val="1"/>
      <w:numFmt w:val="bullet"/>
      <w:lvlText w:val=""/>
      <w:lvlJc w:val="left"/>
      <w:pPr>
        <w:tabs>
          <w:tab w:val="num" w:pos="720"/>
        </w:tabs>
        <w:ind w:left="720" w:hanging="360"/>
      </w:pPr>
      <w:rPr>
        <w:rFonts w:ascii="Symbol" w:hAnsi="Symbol" w:hint="default"/>
      </w:rPr>
    </w:lvl>
    <w:lvl w:ilvl="1" w:tplc="97646A10" w:tentative="1">
      <w:start w:val="1"/>
      <w:numFmt w:val="bullet"/>
      <w:lvlText w:val="o"/>
      <w:lvlJc w:val="left"/>
      <w:pPr>
        <w:ind w:left="1440" w:hanging="360"/>
      </w:pPr>
      <w:rPr>
        <w:rFonts w:ascii="Courier New" w:hAnsi="Courier New" w:cs="Courier New" w:hint="default"/>
      </w:rPr>
    </w:lvl>
    <w:lvl w:ilvl="2" w:tplc="64C4375C" w:tentative="1">
      <w:start w:val="1"/>
      <w:numFmt w:val="bullet"/>
      <w:lvlText w:val=""/>
      <w:lvlJc w:val="left"/>
      <w:pPr>
        <w:ind w:left="2160" w:hanging="360"/>
      </w:pPr>
      <w:rPr>
        <w:rFonts w:ascii="Wingdings" w:hAnsi="Wingdings" w:hint="default"/>
      </w:rPr>
    </w:lvl>
    <w:lvl w:ilvl="3" w:tplc="4B7C69D6" w:tentative="1">
      <w:start w:val="1"/>
      <w:numFmt w:val="bullet"/>
      <w:lvlText w:val=""/>
      <w:lvlJc w:val="left"/>
      <w:pPr>
        <w:ind w:left="2880" w:hanging="360"/>
      </w:pPr>
      <w:rPr>
        <w:rFonts w:ascii="Symbol" w:hAnsi="Symbol" w:hint="default"/>
      </w:rPr>
    </w:lvl>
    <w:lvl w:ilvl="4" w:tplc="B75026C2" w:tentative="1">
      <w:start w:val="1"/>
      <w:numFmt w:val="bullet"/>
      <w:lvlText w:val="o"/>
      <w:lvlJc w:val="left"/>
      <w:pPr>
        <w:ind w:left="3600" w:hanging="360"/>
      </w:pPr>
      <w:rPr>
        <w:rFonts w:ascii="Courier New" w:hAnsi="Courier New" w:cs="Courier New" w:hint="default"/>
      </w:rPr>
    </w:lvl>
    <w:lvl w:ilvl="5" w:tplc="3A123250" w:tentative="1">
      <w:start w:val="1"/>
      <w:numFmt w:val="bullet"/>
      <w:lvlText w:val=""/>
      <w:lvlJc w:val="left"/>
      <w:pPr>
        <w:ind w:left="4320" w:hanging="360"/>
      </w:pPr>
      <w:rPr>
        <w:rFonts w:ascii="Wingdings" w:hAnsi="Wingdings" w:hint="default"/>
      </w:rPr>
    </w:lvl>
    <w:lvl w:ilvl="6" w:tplc="9014DD92" w:tentative="1">
      <w:start w:val="1"/>
      <w:numFmt w:val="bullet"/>
      <w:lvlText w:val=""/>
      <w:lvlJc w:val="left"/>
      <w:pPr>
        <w:ind w:left="5040" w:hanging="360"/>
      </w:pPr>
      <w:rPr>
        <w:rFonts w:ascii="Symbol" w:hAnsi="Symbol" w:hint="default"/>
      </w:rPr>
    </w:lvl>
    <w:lvl w:ilvl="7" w:tplc="D85CDAF6" w:tentative="1">
      <w:start w:val="1"/>
      <w:numFmt w:val="bullet"/>
      <w:lvlText w:val="o"/>
      <w:lvlJc w:val="left"/>
      <w:pPr>
        <w:ind w:left="5760" w:hanging="360"/>
      </w:pPr>
      <w:rPr>
        <w:rFonts w:ascii="Courier New" w:hAnsi="Courier New" w:cs="Courier New" w:hint="default"/>
      </w:rPr>
    </w:lvl>
    <w:lvl w:ilvl="8" w:tplc="CC80FBE2" w:tentative="1">
      <w:start w:val="1"/>
      <w:numFmt w:val="bullet"/>
      <w:lvlText w:val=""/>
      <w:lvlJc w:val="left"/>
      <w:pPr>
        <w:ind w:left="6480" w:hanging="360"/>
      </w:pPr>
      <w:rPr>
        <w:rFonts w:ascii="Wingdings" w:hAnsi="Wingdings" w:hint="default"/>
      </w:rPr>
    </w:lvl>
  </w:abstractNum>
  <w:abstractNum w:abstractNumId="4" w15:restartNumberingAfterBreak="0">
    <w:nsid w:val="746B0C9A"/>
    <w:multiLevelType w:val="hybridMultilevel"/>
    <w:tmpl w:val="6F185492"/>
    <w:lvl w:ilvl="0" w:tplc="DBE6AD88">
      <w:start w:val="1"/>
      <w:numFmt w:val="decimal"/>
      <w:lvlText w:val="(%1)"/>
      <w:lvlJc w:val="left"/>
      <w:pPr>
        <w:ind w:left="765" w:hanging="405"/>
      </w:pPr>
      <w:rPr>
        <w:rFonts w:hint="default"/>
      </w:rPr>
    </w:lvl>
    <w:lvl w:ilvl="1" w:tplc="C81430D8" w:tentative="1">
      <w:start w:val="1"/>
      <w:numFmt w:val="lowerLetter"/>
      <w:lvlText w:val="%2."/>
      <w:lvlJc w:val="left"/>
      <w:pPr>
        <w:ind w:left="1440" w:hanging="360"/>
      </w:pPr>
    </w:lvl>
    <w:lvl w:ilvl="2" w:tplc="2F08A41A" w:tentative="1">
      <w:start w:val="1"/>
      <w:numFmt w:val="lowerRoman"/>
      <w:lvlText w:val="%3."/>
      <w:lvlJc w:val="right"/>
      <w:pPr>
        <w:ind w:left="2160" w:hanging="180"/>
      </w:pPr>
    </w:lvl>
    <w:lvl w:ilvl="3" w:tplc="09CAF254" w:tentative="1">
      <w:start w:val="1"/>
      <w:numFmt w:val="decimal"/>
      <w:lvlText w:val="%4."/>
      <w:lvlJc w:val="left"/>
      <w:pPr>
        <w:ind w:left="2880" w:hanging="360"/>
      </w:pPr>
    </w:lvl>
    <w:lvl w:ilvl="4" w:tplc="2B328DF8" w:tentative="1">
      <w:start w:val="1"/>
      <w:numFmt w:val="lowerLetter"/>
      <w:lvlText w:val="%5."/>
      <w:lvlJc w:val="left"/>
      <w:pPr>
        <w:ind w:left="3600" w:hanging="360"/>
      </w:pPr>
    </w:lvl>
    <w:lvl w:ilvl="5" w:tplc="D1FEA318" w:tentative="1">
      <w:start w:val="1"/>
      <w:numFmt w:val="lowerRoman"/>
      <w:lvlText w:val="%6."/>
      <w:lvlJc w:val="right"/>
      <w:pPr>
        <w:ind w:left="4320" w:hanging="180"/>
      </w:pPr>
    </w:lvl>
    <w:lvl w:ilvl="6" w:tplc="51AA76E4" w:tentative="1">
      <w:start w:val="1"/>
      <w:numFmt w:val="decimal"/>
      <w:lvlText w:val="%7."/>
      <w:lvlJc w:val="left"/>
      <w:pPr>
        <w:ind w:left="5040" w:hanging="360"/>
      </w:pPr>
    </w:lvl>
    <w:lvl w:ilvl="7" w:tplc="9ED25480" w:tentative="1">
      <w:start w:val="1"/>
      <w:numFmt w:val="lowerLetter"/>
      <w:lvlText w:val="%8."/>
      <w:lvlJc w:val="left"/>
      <w:pPr>
        <w:ind w:left="5760" w:hanging="360"/>
      </w:pPr>
    </w:lvl>
    <w:lvl w:ilvl="8" w:tplc="1CB47BF4" w:tentative="1">
      <w:start w:val="1"/>
      <w:numFmt w:val="lowerRoman"/>
      <w:lvlText w:val="%9."/>
      <w:lvlJc w:val="right"/>
      <w:pPr>
        <w:ind w:left="6480" w:hanging="180"/>
      </w:pPr>
    </w:lvl>
  </w:abstractNum>
  <w:num w:numId="1" w16cid:durableId="1133525887">
    <w:abstractNumId w:val="1"/>
  </w:num>
  <w:num w:numId="2" w16cid:durableId="810054553">
    <w:abstractNumId w:val="0"/>
  </w:num>
  <w:num w:numId="3" w16cid:durableId="1070882811">
    <w:abstractNumId w:val="4"/>
  </w:num>
  <w:num w:numId="4" w16cid:durableId="1386831401">
    <w:abstractNumId w:val="2"/>
  </w:num>
  <w:num w:numId="5" w16cid:durableId="792748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E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879D0"/>
    <w:rsid w:val="00090E6B"/>
    <w:rsid w:val="00091B2C"/>
    <w:rsid w:val="00092ABC"/>
    <w:rsid w:val="00097AAF"/>
    <w:rsid w:val="00097D13"/>
    <w:rsid w:val="000A4893"/>
    <w:rsid w:val="000A54E0"/>
    <w:rsid w:val="000A72C4"/>
    <w:rsid w:val="000A7FAC"/>
    <w:rsid w:val="000B0F30"/>
    <w:rsid w:val="000B1486"/>
    <w:rsid w:val="000B3E61"/>
    <w:rsid w:val="000B54AF"/>
    <w:rsid w:val="000B6090"/>
    <w:rsid w:val="000B6FEE"/>
    <w:rsid w:val="000C12C4"/>
    <w:rsid w:val="000C49DA"/>
    <w:rsid w:val="000C4B3D"/>
    <w:rsid w:val="000C6DC1"/>
    <w:rsid w:val="000C6E20"/>
    <w:rsid w:val="000C76D7"/>
    <w:rsid w:val="000C7F1D"/>
    <w:rsid w:val="000D1C3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103"/>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1961"/>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5093"/>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46DF"/>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2F4E"/>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2AD2"/>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3C1"/>
    <w:rsid w:val="00300823"/>
    <w:rsid w:val="00300D7F"/>
    <w:rsid w:val="00301638"/>
    <w:rsid w:val="00303B0C"/>
    <w:rsid w:val="0030459C"/>
    <w:rsid w:val="00313DFE"/>
    <w:rsid w:val="003143B2"/>
    <w:rsid w:val="00314821"/>
    <w:rsid w:val="0031483F"/>
    <w:rsid w:val="003162BC"/>
    <w:rsid w:val="0031741B"/>
    <w:rsid w:val="00321337"/>
    <w:rsid w:val="00321F2F"/>
    <w:rsid w:val="003237F6"/>
    <w:rsid w:val="00324077"/>
    <w:rsid w:val="0032453B"/>
    <w:rsid w:val="00324868"/>
    <w:rsid w:val="003305F5"/>
    <w:rsid w:val="00333930"/>
    <w:rsid w:val="0033635E"/>
    <w:rsid w:val="00336BA4"/>
    <w:rsid w:val="00336C7A"/>
    <w:rsid w:val="00337392"/>
    <w:rsid w:val="00337659"/>
    <w:rsid w:val="00340FB0"/>
    <w:rsid w:val="003427C9"/>
    <w:rsid w:val="00343A92"/>
    <w:rsid w:val="00344530"/>
    <w:rsid w:val="003446DC"/>
    <w:rsid w:val="00345ACE"/>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5777"/>
    <w:rsid w:val="003E590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6D09"/>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6474E"/>
    <w:rsid w:val="00474927"/>
    <w:rsid w:val="00475913"/>
    <w:rsid w:val="00480080"/>
    <w:rsid w:val="004824A7"/>
    <w:rsid w:val="00483AF0"/>
    <w:rsid w:val="00484167"/>
    <w:rsid w:val="00485458"/>
    <w:rsid w:val="00492211"/>
    <w:rsid w:val="00492325"/>
    <w:rsid w:val="00492A6D"/>
    <w:rsid w:val="00494303"/>
    <w:rsid w:val="00496138"/>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4A60"/>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96604"/>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1DDC"/>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2747E"/>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2AE"/>
    <w:rsid w:val="006B7A2E"/>
    <w:rsid w:val="006C4698"/>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5475"/>
    <w:rsid w:val="00727E7A"/>
    <w:rsid w:val="0073163C"/>
    <w:rsid w:val="00731DE3"/>
    <w:rsid w:val="00732364"/>
    <w:rsid w:val="0073454E"/>
    <w:rsid w:val="00735B9D"/>
    <w:rsid w:val="007365A5"/>
    <w:rsid w:val="00736FB0"/>
    <w:rsid w:val="007404BC"/>
    <w:rsid w:val="00740D13"/>
    <w:rsid w:val="00740F5F"/>
    <w:rsid w:val="00742794"/>
    <w:rsid w:val="00743C4C"/>
    <w:rsid w:val="007445B7"/>
    <w:rsid w:val="00744920"/>
    <w:rsid w:val="0074531A"/>
    <w:rsid w:val="007509BE"/>
    <w:rsid w:val="0075181E"/>
    <w:rsid w:val="0075287B"/>
    <w:rsid w:val="00755C7B"/>
    <w:rsid w:val="00764786"/>
    <w:rsid w:val="00766E12"/>
    <w:rsid w:val="0077098E"/>
    <w:rsid w:val="00771287"/>
    <w:rsid w:val="0077149E"/>
    <w:rsid w:val="00774FD8"/>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7B98"/>
    <w:rsid w:val="00850CF0"/>
    <w:rsid w:val="00851869"/>
    <w:rsid w:val="00851C04"/>
    <w:rsid w:val="008531A1"/>
    <w:rsid w:val="00853A94"/>
    <w:rsid w:val="008547A3"/>
    <w:rsid w:val="0085797D"/>
    <w:rsid w:val="00860020"/>
    <w:rsid w:val="008618E7"/>
    <w:rsid w:val="00861995"/>
    <w:rsid w:val="0086231A"/>
    <w:rsid w:val="00863023"/>
    <w:rsid w:val="0086477C"/>
    <w:rsid w:val="00864BAD"/>
    <w:rsid w:val="00866D89"/>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87558"/>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5E5"/>
    <w:rsid w:val="00917E0C"/>
    <w:rsid w:val="00920711"/>
    <w:rsid w:val="00921A1E"/>
    <w:rsid w:val="00924EA9"/>
    <w:rsid w:val="00925CE1"/>
    <w:rsid w:val="00925F5C"/>
    <w:rsid w:val="00926A73"/>
    <w:rsid w:val="00930897"/>
    <w:rsid w:val="009320D2"/>
    <w:rsid w:val="009329FB"/>
    <w:rsid w:val="00932C77"/>
    <w:rsid w:val="0093417F"/>
    <w:rsid w:val="00934AC2"/>
    <w:rsid w:val="009375BB"/>
    <w:rsid w:val="00937A0A"/>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0089"/>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02A"/>
    <w:rsid w:val="00A232E4"/>
    <w:rsid w:val="00A24AAD"/>
    <w:rsid w:val="00A26A8A"/>
    <w:rsid w:val="00A27255"/>
    <w:rsid w:val="00A3210A"/>
    <w:rsid w:val="00A32304"/>
    <w:rsid w:val="00A3420E"/>
    <w:rsid w:val="00A35D66"/>
    <w:rsid w:val="00A41085"/>
    <w:rsid w:val="00A425FA"/>
    <w:rsid w:val="00A43960"/>
    <w:rsid w:val="00A46902"/>
    <w:rsid w:val="00A50CDB"/>
    <w:rsid w:val="00A51F3E"/>
    <w:rsid w:val="00A5364B"/>
    <w:rsid w:val="00A54142"/>
    <w:rsid w:val="00A54C42"/>
    <w:rsid w:val="00A55B1D"/>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3ED4"/>
    <w:rsid w:val="00B564BF"/>
    <w:rsid w:val="00B6104E"/>
    <w:rsid w:val="00B610C7"/>
    <w:rsid w:val="00B62106"/>
    <w:rsid w:val="00B626A8"/>
    <w:rsid w:val="00B65695"/>
    <w:rsid w:val="00B66526"/>
    <w:rsid w:val="00B665A3"/>
    <w:rsid w:val="00B66D82"/>
    <w:rsid w:val="00B73BB4"/>
    <w:rsid w:val="00B80532"/>
    <w:rsid w:val="00B82039"/>
    <w:rsid w:val="00B82454"/>
    <w:rsid w:val="00B90097"/>
    <w:rsid w:val="00B90999"/>
    <w:rsid w:val="00B91AD7"/>
    <w:rsid w:val="00B92D23"/>
    <w:rsid w:val="00B95BC8"/>
    <w:rsid w:val="00B96E87"/>
    <w:rsid w:val="00BA146A"/>
    <w:rsid w:val="00BA32EE"/>
    <w:rsid w:val="00BB2C0D"/>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2268"/>
    <w:rsid w:val="00BE3634"/>
    <w:rsid w:val="00BE3E30"/>
    <w:rsid w:val="00BE5274"/>
    <w:rsid w:val="00BE71CD"/>
    <w:rsid w:val="00BE7748"/>
    <w:rsid w:val="00BE7BDA"/>
    <w:rsid w:val="00BF0548"/>
    <w:rsid w:val="00BF4949"/>
    <w:rsid w:val="00BF4D7C"/>
    <w:rsid w:val="00BF5085"/>
    <w:rsid w:val="00C013F4"/>
    <w:rsid w:val="00C036F2"/>
    <w:rsid w:val="00C040AB"/>
    <w:rsid w:val="00C0499B"/>
    <w:rsid w:val="00C05406"/>
    <w:rsid w:val="00C05CF0"/>
    <w:rsid w:val="00C07D10"/>
    <w:rsid w:val="00C119AC"/>
    <w:rsid w:val="00C14EE6"/>
    <w:rsid w:val="00C151DA"/>
    <w:rsid w:val="00C152A1"/>
    <w:rsid w:val="00C16CCB"/>
    <w:rsid w:val="00C2142B"/>
    <w:rsid w:val="00C22987"/>
    <w:rsid w:val="00C23956"/>
    <w:rsid w:val="00C248E6"/>
    <w:rsid w:val="00C2766F"/>
    <w:rsid w:val="00C279F4"/>
    <w:rsid w:val="00C30326"/>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1E85"/>
    <w:rsid w:val="00CB3627"/>
    <w:rsid w:val="00CB4B4B"/>
    <w:rsid w:val="00CB4B73"/>
    <w:rsid w:val="00CB74CB"/>
    <w:rsid w:val="00CB7E04"/>
    <w:rsid w:val="00CC1E4F"/>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1A4A"/>
    <w:rsid w:val="00D22160"/>
    <w:rsid w:val="00D22172"/>
    <w:rsid w:val="00D2301B"/>
    <w:rsid w:val="00D239EE"/>
    <w:rsid w:val="00D30534"/>
    <w:rsid w:val="00D35728"/>
    <w:rsid w:val="00D359A7"/>
    <w:rsid w:val="00D37BCF"/>
    <w:rsid w:val="00D40F93"/>
    <w:rsid w:val="00D41750"/>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A02"/>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09EE"/>
    <w:rsid w:val="00ED12C0"/>
    <w:rsid w:val="00ED19F0"/>
    <w:rsid w:val="00ED2B50"/>
    <w:rsid w:val="00ED3A32"/>
    <w:rsid w:val="00ED3BDE"/>
    <w:rsid w:val="00ED68FB"/>
    <w:rsid w:val="00ED783A"/>
    <w:rsid w:val="00EE0FD4"/>
    <w:rsid w:val="00EE2E34"/>
    <w:rsid w:val="00EE2E91"/>
    <w:rsid w:val="00EE3370"/>
    <w:rsid w:val="00EE4255"/>
    <w:rsid w:val="00EE43A2"/>
    <w:rsid w:val="00EE46B7"/>
    <w:rsid w:val="00EE59E9"/>
    <w:rsid w:val="00EE5A49"/>
    <w:rsid w:val="00EE664B"/>
    <w:rsid w:val="00EF10BA"/>
    <w:rsid w:val="00EF1738"/>
    <w:rsid w:val="00EF1A5F"/>
    <w:rsid w:val="00EF2BAF"/>
    <w:rsid w:val="00EF3620"/>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252"/>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2762"/>
    <w:rsid w:val="00F6499F"/>
    <w:rsid w:val="00F6514B"/>
    <w:rsid w:val="00F6533E"/>
    <w:rsid w:val="00F6587F"/>
    <w:rsid w:val="00F67981"/>
    <w:rsid w:val="00F706CA"/>
    <w:rsid w:val="00F70F8D"/>
    <w:rsid w:val="00F71C5A"/>
    <w:rsid w:val="00F733A4"/>
    <w:rsid w:val="00F74F4B"/>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3F5F"/>
    <w:rsid w:val="00FD6F14"/>
    <w:rsid w:val="00FE10C8"/>
    <w:rsid w:val="00FE19C5"/>
    <w:rsid w:val="00FE24B4"/>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B38120-EEB6-4BF7-9AD9-24EFF114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E1DDC"/>
    <w:rPr>
      <w:sz w:val="16"/>
      <w:szCs w:val="16"/>
    </w:rPr>
  </w:style>
  <w:style w:type="paragraph" w:styleId="CommentText">
    <w:name w:val="annotation text"/>
    <w:basedOn w:val="Normal"/>
    <w:link w:val="CommentTextChar"/>
    <w:semiHidden/>
    <w:unhideWhenUsed/>
    <w:rsid w:val="005E1DDC"/>
    <w:rPr>
      <w:sz w:val="20"/>
      <w:szCs w:val="20"/>
    </w:rPr>
  </w:style>
  <w:style w:type="character" w:customStyle="1" w:styleId="CommentTextChar">
    <w:name w:val="Comment Text Char"/>
    <w:basedOn w:val="DefaultParagraphFont"/>
    <w:link w:val="CommentText"/>
    <w:semiHidden/>
    <w:rsid w:val="005E1DDC"/>
  </w:style>
  <w:style w:type="paragraph" w:styleId="CommentSubject">
    <w:name w:val="annotation subject"/>
    <w:basedOn w:val="CommentText"/>
    <w:next w:val="CommentText"/>
    <w:link w:val="CommentSubjectChar"/>
    <w:semiHidden/>
    <w:unhideWhenUsed/>
    <w:rsid w:val="005E1DDC"/>
    <w:rPr>
      <w:b/>
      <w:bCs/>
    </w:rPr>
  </w:style>
  <w:style w:type="character" w:customStyle="1" w:styleId="CommentSubjectChar">
    <w:name w:val="Comment Subject Char"/>
    <w:basedOn w:val="CommentTextChar"/>
    <w:link w:val="CommentSubject"/>
    <w:semiHidden/>
    <w:rsid w:val="005E1DDC"/>
    <w:rPr>
      <w:b/>
      <w:bCs/>
    </w:rPr>
  </w:style>
  <w:style w:type="paragraph" w:styleId="Revision">
    <w:name w:val="Revision"/>
    <w:hidden/>
    <w:uiPriority w:val="99"/>
    <w:semiHidden/>
    <w:rsid w:val="00C279F4"/>
    <w:rPr>
      <w:sz w:val="24"/>
      <w:szCs w:val="24"/>
    </w:rPr>
  </w:style>
  <w:style w:type="paragraph" w:styleId="ListParagraph">
    <w:name w:val="List Paragraph"/>
    <w:basedOn w:val="Normal"/>
    <w:uiPriority w:val="34"/>
    <w:qFormat/>
    <w:rsid w:val="0033635E"/>
    <w:pPr>
      <w:ind w:left="720"/>
      <w:contextualSpacing/>
    </w:pPr>
  </w:style>
  <w:style w:type="character" w:styleId="Hyperlink">
    <w:name w:val="Hyperlink"/>
    <w:basedOn w:val="DefaultParagraphFont"/>
    <w:unhideWhenUsed/>
    <w:rsid w:val="003E5777"/>
    <w:rPr>
      <w:color w:val="0000FF" w:themeColor="hyperlink"/>
      <w:u w:val="single"/>
    </w:rPr>
  </w:style>
  <w:style w:type="character" w:customStyle="1" w:styleId="UnresolvedMention1">
    <w:name w:val="Unresolved Mention1"/>
    <w:basedOn w:val="DefaultParagraphFont"/>
    <w:uiPriority w:val="99"/>
    <w:semiHidden/>
    <w:unhideWhenUsed/>
    <w:rsid w:val="003E5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1154</Words>
  <Characters>6670</Characters>
  <Application>Microsoft Office Word</Application>
  <DocSecurity>4</DocSecurity>
  <Lines>130</Lines>
  <Paragraphs>33</Paragraphs>
  <ScaleCrop>false</ScaleCrop>
  <HeadingPairs>
    <vt:vector size="2" baseType="variant">
      <vt:variant>
        <vt:lpstr>Title</vt:lpstr>
      </vt:variant>
      <vt:variant>
        <vt:i4>1</vt:i4>
      </vt:variant>
    </vt:vector>
  </HeadingPairs>
  <TitlesOfParts>
    <vt:vector size="1" baseType="lpstr">
      <vt:lpstr>BA - HB05066 (Committee Report (Substituted))</vt:lpstr>
    </vt:vector>
  </TitlesOfParts>
  <Company>State of Texas</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26019</dc:subject>
  <dc:creator>State of Texas</dc:creator>
  <dc:description>HB 5066 by Geren-(H)State Affairs (Substitute Document Number: 88R 21932)</dc:description>
  <cp:lastModifiedBy>Stacey Nicchio</cp:lastModifiedBy>
  <cp:revision>2</cp:revision>
  <cp:lastPrinted>2003-11-26T17:21:00Z</cp:lastPrinted>
  <dcterms:created xsi:type="dcterms:W3CDTF">2023-04-25T00:05:00Z</dcterms:created>
  <dcterms:modified xsi:type="dcterms:W3CDTF">2023-04-25T00:05:00Z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23.114.980</vt:lpwstr>
  </property>
</Properties>
</file>