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B32022" w14:paraId="64261347" w14:textId="77777777" w:rsidTr="00345119">
        <w:tc>
          <w:tcPr>
            <w:tcW w:w="9576" w:type="dxa"/>
            <w:noWrap/>
          </w:tcPr>
          <w:p w14:paraId="19260F4F" w14:textId="77777777" w:rsidR="008423E4" w:rsidRPr="0022177D" w:rsidRDefault="006D1A95" w:rsidP="00BE39EC">
            <w:pPr>
              <w:pStyle w:val="Heading1"/>
            </w:pPr>
            <w:r w:rsidRPr="00631897">
              <w:t>BILL ANALYSIS</w:t>
            </w:r>
          </w:p>
        </w:tc>
      </w:tr>
    </w:tbl>
    <w:p w14:paraId="23BE89E0" w14:textId="77777777" w:rsidR="008423E4" w:rsidRPr="0022177D" w:rsidRDefault="008423E4" w:rsidP="00BE39EC">
      <w:pPr>
        <w:jc w:val="center"/>
      </w:pPr>
    </w:p>
    <w:p w14:paraId="5FBC0C3F" w14:textId="77777777" w:rsidR="008423E4" w:rsidRPr="00B31F0E" w:rsidRDefault="008423E4" w:rsidP="00BE39EC"/>
    <w:p w14:paraId="4C2EBDBA" w14:textId="77777777" w:rsidR="008423E4" w:rsidRPr="00742794" w:rsidRDefault="008423E4" w:rsidP="00BE39EC">
      <w:pPr>
        <w:tabs>
          <w:tab w:val="right" w:pos="9360"/>
        </w:tabs>
      </w:pPr>
    </w:p>
    <w:tbl>
      <w:tblPr>
        <w:tblW w:w="0" w:type="auto"/>
        <w:tblLayout w:type="fixed"/>
        <w:tblLook w:val="01E0" w:firstRow="1" w:lastRow="1" w:firstColumn="1" w:lastColumn="1" w:noHBand="0" w:noVBand="0"/>
      </w:tblPr>
      <w:tblGrid>
        <w:gridCol w:w="9576"/>
      </w:tblGrid>
      <w:tr w:rsidR="00B32022" w14:paraId="5CC3C358" w14:textId="77777777" w:rsidTr="00345119">
        <w:tc>
          <w:tcPr>
            <w:tcW w:w="9576" w:type="dxa"/>
          </w:tcPr>
          <w:p w14:paraId="3831778A" w14:textId="2EC8D5A3" w:rsidR="008423E4" w:rsidRPr="00861995" w:rsidRDefault="006D1A95" w:rsidP="00BE39EC">
            <w:pPr>
              <w:jc w:val="right"/>
            </w:pPr>
            <w:r>
              <w:t>C.S.H.B. 5105</w:t>
            </w:r>
          </w:p>
        </w:tc>
      </w:tr>
      <w:tr w:rsidR="00B32022" w14:paraId="2EA188D5" w14:textId="77777777" w:rsidTr="00345119">
        <w:tc>
          <w:tcPr>
            <w:tcW w:w="9576" w:type="dxa"/>
          </w:tcPr>
          <w:p w14:paraId="5D29FB7B" w14:textId="55C2078D" w:rsidR="008423E4" w:rsidRPr="00861995" w:rsidRDefault="006D1A95" w:rsidP="00BE39EC">
            <w:pPr>
              <w:jc w:val="right"/>
            </w:pPr>
            <w:r>
              <w:t xml:space="preserve">By: </w:t>
            </w:r>
            <w:r w:rsidR="00B008DC">
              <w:t>Stucky</w:t>
            </w:r>
          </w:p>
        </w:tc>
      </w:tr>
      <w:tr w:rsidR="00B32022" w14:paraId="745CDFD3" w14:textId="77777777" w:rsidTr="00345119">
        <w:tc>
          <w:tcPr>
            <w:tcW w:w="9576" w:type="dxa"/>
          </w:tcPr>
          <w:p w14:paraId="060B237B" w14:textId="0391589F" w:rsidR="008423E4" w:rsidRPr="00861995" w:rsidRDefault="006D1A95" w:rsidP="00BE39EC">
            <w:pPr>
              <w:jc w:val="right"/>
            </w:pPr>
            <w:r>
              <w:t>Ways &amp; Means</w:t>
            </w:r>
          </w:p>
        </w:tc>
      </w:tr>
      <w:tr w:rsidR="00B32022" w14:paraId="68202368" w14:textId="77777777" w:rsidTr="00345119">
        <w:tc>
          <w:tcPr>
            <w:tcW w:w="9576" w:type="dxa"/>
          </w:tcPr>
          <w:p w14:paraId="2A03A00F" w14:textId="40156BC0" w:rsidR="008423E4" w:rsidRDefault="006D1A95" w:rsidP="00BE39EC">
            <w:pPr>
              <w:jc w:val="right"/>
            </w:pPr>
            <w:r>
              <w:t>Committee Report (Substituted)</w:t>
            </w:r>
          </w:p>
        </w:tc>
      </w:tr>
    </w:tbl>
    <w:p w14:paraId="33FB4352" w14:textId="77777777" w:rsidR="008423E4" w:rsidRDefault="008423E4" w:rsidP="00BE39EC">
      <w:pPr>
        <w:tabs>
          <w:tab w:val="right" w:pos="9360"/>
        </w:tabs>
      </w:pPr>
    </w:p>
    <w:p w14:paraId="495261E7" w14:textId="77777777" w:rsidR="008423E4" w:rsidRDefault="008423E4" w:rsidP="00BE39EC"/>
    <w:p w14:paraId="7882AED6" w14:textId="77777777" w:rsidR="008423E4" w:rsidRDefault="008423E4" w:rsidP="00BE39EC"/>
    <w:tbl>
      <w:tblPr>
        <w:tblW w:w="0" w:type="auto"/>
        <w:tblCellMar>
          <w:left w:w="115" w:type="dxa"/>
          <w:right w:w="115" w:type="dxa"/>
        </w:tblCellMar>
        <w:tblLook w:val="01E0" w:firstRow="1" w:lastRow="1" w:firstColumn="1" w:lastColumn="1" w:noHBand="0" w:noVBand="0"/>
      </w:tblPr>
      <w:tblGrid>
        <w:gridCol w:w="9360"/>
      </w:tblGrid>
      <w:tr w:rsidR="00B32022" w14:paraId="34B56F33" w14:textId="77777777" w:rsidTr="00345119">
        <w:tc>
          <w:tcPr>
            <w:tcW w:w="9576" w:type="dxa"/>
          </w:tcPr>
          <w:p w14:paraId="487A325D" w14:textId="77777777" w:rsidR="008423E4" w:rsidRPr="00A8133F" w:rsidRDefault="006D1A95" w:rsidP="00BE39EC">
            <w:pPr>
              <w:rPr>
                <w:b/>
              </w:rPr>
            </w:pPr>
            <w:r w:rsidRPr="009C1E9A">
              <w:rPr>
                <w:b/>
                <w:u w:val="single"/>
              </w:rPr>
              <w:t>BACKGROUND AND PURPOSE</w:t>
            </w:r>
            <w:r>
              <w:rPr>
                <w:b/>
              </w:rPr>
              <w:t xml:space="preserve"> </w:t>
            </w:r>
          </w:p>
          <w:p w14:paraId="12EB05E9" w14:textId="77777777" w:rsidR="008423E4" w:rsidRDefault="008423E4" w:rsidP="00BE39EC"/>
          <w:p w14:paraId="5D4E733D" w14:textId="57E6C308" w:rsidR="008423E4" w:rsidRDefault="006D1A95" w:rsidP="00BE39EC">
            <w:pPr>
              <w:pStyle w:val="Header"/>
              <w:jc w:val="both"/>
            </w:pPr>
            <w:r>
              <w:t>While municipalities have blanket authority to impose a hotel occupancy tax, counties do not. Instead, t</w:t>
            </w:r>
            <w:r w:rsidRPr="0033267E">
              <w:t xml:space="preserve">he Texas Legislature </w:t>
            </w:r>
            <w:r>
              <w:t xml:space="preserve">must </w:t>
            </w:r>
            <w:r w:rsidRPr="0033267E">
              <w:t xml:space="preserve">authorize </w:t>
            </w:r>
            <w:r>
              <w:t>a particular</w:t>
            </w:r>
            <w:r w:rsidRPr="0033267E">
              <w:t xml:space="preserve"> count</w:t>
            </w:r>
            <w:r>
              <w:t>y</w:t>
            </w:r>
            <w:r w:rsidRPr="0033267E">
              <w:t xml:space="preserve"> to </w:t>
            </w:r>
            <w:r>
              <w:t>do so, w</w:t>
            </w:r>
            <w:r w:rsidR="00D05B6F">
              <w:t>ith</w:t>
            </w:r>
            <w:r>
              <w:t xml:space="preserve"> the</w:t>
            </w:r>
            <w:r w:rsidRPr="0033267E">
              <w:t xml:space="preserve"> </w:t>
            </w:r>
            <w:r>
              <w:t>revenue from this tax</w:t>
            </w:r>
            <w:r w:rsidRPr="0033267E">
              <w:t xml:space="preserve"> largely </w:t>
            </w:r>
            <w:r>
              <w:t xml:space="preserve">being used </w:t>
            </w:r>
            <w:r w:rsidRPr="0033267E">
              <w:t xml:space="preserve">for the purpose of promoting tourism and local attractions. </w:t>
            </w:r>
            <w:r>
              <w:t>C.S.H.B.</w:t>
            </w:r>
            <w:r w:rsidR="006122DA">
              <w:t> </w:t>
            </w:r>
            <w:r w:rsidRPr="0033267E">
              <w:t xml:space="preserve">5105 seeks to grant </w:t>
            </w:r>
            <w:r>
              <w:t xml:space="preserve">this </w:t>
            </w:r>
            <w:r w:rsidRPr="0033267E">
              <w:t xml:space="preserve">authority to Denton County </w:t>
            </w:r>
            <w:r>
              <w:t>and to restrict the</w:t>
            </w:r>
            <w:r>
              <w:t xml:space="preserve"> use of this additional revenue to</w:t>
            </w:r>
            <w:r w:rsidRPr="008450FE">
              <w:t xml:space="preserve"> </w:t>
            </w:r>
            <w:r>
              <w:t xml:space="preserve">the </w:t>
            </w:r>
            <w:r w:rsidRPr="008450FE">
              <w:t xml:space="preserve">development, construction, maintenance, </w:t>
            </w:r>
            <w:r>
              <w:t xml:space="preserve">operation, </w:t>
            </w:r>
            <w:r w:rsidRPr="008450FE">
              <w:t>improvement</w:t>
            </w:r>
            <w:r>
              <w:t>, and marketing and promotion</w:t>
            </w:r>
            <w:r w:rsidRPr="008450FE">
              <w:t xml:space="preserve"> of </w:t>
            </w:r>
            <w:r>
              <w:t xml:space="preserve">a qualifying </w:t>
            </w:r>
            <w:r w:rsidRPr="008450FE">
              <w:t xml:space="preserve">multipurpose </w:t>
            </w:r>
            <w:r w:rsidRPr="00360071">
              <w:t>sports and event complex</w:t>
            </w:r>
            <w:r w:rsidRPr="0033267E">
              <w:t>.</w:t>
            </w:r>
          </w:p>
          <w:p w14:paraId="25A7E2D3" w14:textId="77777777" w:rsidR="008423E4" w:rsidRPr="00E26B13" w:rsidRDefault="008423E4" w:rsidP="00BE39EC">
            <w:pPr>
              <w:rPr>
                <w:b/>
              </w:rPr>
            </w:pPr>
          </w:p>
        </w:tc>
      </w:tr>
      <w:tr w:rsidR="00B32022" w14:paraId="5C8802B8" w14:textId="77777777" w:rsidTr="00345119">
        <w:tc>
          <w:tcPr>
            <w:tcW w:w="9576" w:type="dxa"/>
          </w:tcPr>
          <w:p w14:paraId="2F77DA5C" w14:textId="77777777" w:rsidR="0017725B" w:rsidRDefault="006D1A95" w:rsidP="00BE39EC">
            <w:pPr>
              <w:rPr>
                <w:b/>
                <w:u w:val="single"/>
              </w:rPr>
            </w:pPr>
            <w:r>
              <w:rPr>
                <w:b/>
                <w:u w:val="single"/>
              </w:rPr>
              <w:t>CRIMINAL JUSTICE IMPACT</w:t>
            </w:r>
          </w:p>
          <w:p w14:paraId="2400C54E" w14:textId="77777777" w:rsidR="0017725B" w:rsidRDefault="0017725B" w:rsidP="00BE39EC">
            <w:pPr>
              <w:rPr>
                <w:b/>
                <w:u w:val="single"/>
              </w:rPr>
            </w:pPr>
          </w:p>
          <w:p w14:paraId="4322115B" w14:textId="77777777" w:rsidR="0017725B" w:rsidRDefault="006D1A95" w:rsidP="00BE39EC">
            <w:pPr>
              <w:jc w:val="both"/>
            </w:pPr>
            <w:r>
              <w:t xml:space="preserve">It is the committee's opinion that this </w:t>
            </w:r>
            <w:r>
              <w:t>bill does not expressly create a criminal offense, increase the punishment for an existing criminal offense or category of offenses, or change the eligibility of a person for community supervision, parole, or mandatory supervision.</w:t>
            </w:r>
          </w:p>
          <w:p w14:paraId="63555AC4" w14:textId="11A00665" w:rsidR="00BE5E68" w:rsidRPr="0017725B" w:rsidRDefault="00BE5E68" w:rsidP="00BE39EC">
            <w:pPr>
              <w:jc w:val="both"/>
              <w:rPr>
                <w:b/>
                <w:u w:val="single"/>
              </w:rPr>
            </w:pPr>
          </w:p>
        </w:tc>
      </w:tr>
      <w:tr w:rsidR="00B32022" w14:paraId="428138A0" w14:textId="77777777" w:rsidTr="00345119">
        <w:tc>
          <w:tcPr>
            <w:tcW w:w="9576" w:type="dxa"/>
          </w:tcPr>
          <w:p w14:paraId="68DD2DCC" w14:textId="77777777" w:rsidR="008423E4" w:rsidRPr="00A8133F" w:rsidRDefault="006D1A95" w:rsidP="00BE39EC">
            <w:pPr>
              <w:rPr>
                <w:b/>
              </w:rPr>
            </w:pPr>
            <w:r w:rsidRPr="009C1E9A">
              <w:rPr>
                <w:b/>
                <w:u w:val="single"/>
              </w:rPr>
              <w:t>RULEMAKING AUTHORITY</w:t>
            </w:r>
            <w:r>
              <w:rPr>
                <w:b/>
              </w:rPr>
              <w:t xml:space="preserve"> </w:t>
            </w:r>
          </w:p>
          <w:p w14:paraId="0832ECF7" w14:textId="77777777" w:rsidR="008423E4" w:rsidRDefault="008423E4" w:rsidP="00BE39EC"/>
          <w:p w14:paraId="6C1B5E64" w14:textId="77777777" w:rsidR="008423E4" w:rsidRDefault="006D1A95" w:rsidP="00BE39EC">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78467847" w14:textId="0D00A089" w:rsidR="00BE5E68" w:rsidRPr="00E21FDC" w:rsidRDefault="00BE5E68" w:rsidP="00BE39EC">
            <w:pPr>
              <w:pStyle w:val="Header"/>
              <w:tabs>
                <w:tab w:val="clear" w:pos="4320"/>
                <w:tab w:val="clear" w:pos="8640"/>
              </w:tabs>
              <w:jc w:val="both"/>
              <w:rPr>
                <w:b/>
              </w:rPr>
            </w:pPr>
          </w:p>
        </w:tc>
      </w:tr>
      <w:tr w:rsidR="00B32022" w14:paraId="0D3683D0" w14:textId="77777777" w:rsidTr="00345119">
        <w:tc>
          <w:tcPr>
            <w:tcW w:w="9576" w:type="dxa"/>
          </w:tcPr>
          <w:p w14:paraId="72661D46" w14:textId="71010C20" w:rsidR="008423E4" w:rsidRDefault="006D1A95" w:rsidP="00BE39EC">
            <w:pPr>
              <w:jc w:val="both"/>
              <w:rPr>
                <w:b/>
              </w:rPr>
            </w:pPr>
            <w:r w:rsidRPr="009C1E9A">
              <w:rPr>
                <w:b/>
                <w:u w:val="single"/>
              </w:rPr>
              <w:t>ANALYSIS</w:t>
            </w:r>
            <w:r>
              <w:rPr>
                <w:b/>
              </w:rPr>
              <w:t xml:space="preserve"> </w:t>
            </w:r>
          </w:p>
          <w:p w14:paraId="503B13BF" w14:textId="77777777" w:rsidR="00BE5E68" w:rsidRPr="00A8133F" w:rsidRDefault="00BE5E68" w:rsidP="00BE39EC">
            <w:pPr>
              <w:jc w:val="both"/>
              <w:rPr>
                <w:b/>
              </w:rPr>
            </w:pPr>
          </w:p>
          <w:p w14:paraId="32971CCD" w14:textId="6DF8D289" w:rsidR="00D73F9E" w:rsidRDefault="006D1A95" w:rsidP="00BE39EC">
            <w:pPr>
              <w:jc w:val="both"/>
              <w:rPr>
                <w:shd w:val="clear" w:color="auto" w:fill="FFFFFF"/>
              </w:rPr>
            </w:pPr>
            <w:r>
              <w:t>C.S.</w:t>
            </w:r>
            <w:r w:rsidR="00D4289D" w:rsidRPr="008450FE">
              <w:t xml:space="preserve">H.B. 5105 amends the Tax Code to authorize </w:t>
            </w:r>
            <w:r w:rsidR="00DD4624">
              <w:t>the</w:t>
            </w:r>
            <w:r w:rsidR="00DD4624" w:rsidRPr="008450FE">
              <w:t xml:space="preserve"> </w:t>
            </w:r>
            <w:r w:rsidR="00D4289D" w:rsidRPr="008450FE">
              <w:t>commissioners court of a county with a population of more than 650,000 that is adjacent to two counties, each having a population of more than 1.8 million, to impose a county hotel occupancy tax</w:t>
            </w:r>
            <w:r w:rsidR="00DD4624">
              <w:t xml:space="preserve"> at a rate</w:t>
            </w:r>
            <w:r w:rsidR="00DD4624" w:rsidRPr="008450FE">
              <w:t xml:space="preserve"> </w:t>
            </w:r>
            <w:r w:rsidR="00D4289D" w:rsidRPr="008450FE">
              <w:t>cap</w:t>
            </w:r>
            <w:r w:rsidR="0051275D" w:rsidRPr="008450FE">
              <w:t>ped</w:t>
            </w:r>
            <w:r w:rsidR="00D4289D" w:rsidRPr="008450FE">
              <w:t xml:space="preserve"> at two percent of the price paid for a room in a hot</w:t>
            </w:r>
            <w:r w:rsidR="0051275D" w:rsidRPr="008450FE">
              <w:t>e</w:t>
            </w:r>
            <w:r w:rsidR="00D4289D" w:rsidRPr="008450FE">
              <w:t>l</w:t>
            </w:r>
            <w:r w:rsidR="00DD4624">
              <w:t>.</w:t>
            </w:r>
            <w:r w:rsidR="0051275D" w:rsidRPr="008450FE">
              <w:t xml:space="preserve"> </w:t>
            </w:r>
            <w:r w:rsidR="00ED0384">
              <w:t>The bill makes the tax inapplicable to a hotel that is located within a 2.5-mile radius of the intersection of the Dallas North Tollway and U.S.</w:t>
            </w:r>
            <w:r w:rsidR="00CA2A7A">
              <w:t> </w:t>
            </w:r>
            <w:r w:rsidR="00ED0384">
              <w:t xml:space="preserve">Highway 380. </w:t>
            </w:r>
            <w:r w:rsidR="00DD4624">
              <w:t xml:space="preserve">The bill </w:t>
            </w:r>
            <w:r>
              <w:t xml:space="preserve">restricts the county's use of </w:t>
            </w:r>
            <w:r w:rsidR="00DD4624">
              <w:t xml:space="preserve">the </w:t>
            </w:r>
            <w:r w:rsidR="0051275D" w:rsidRPr="008450FE">
              <w:t xml:space="preserve">revenue </w:t>
            </w:r>
            <w:r>
              <w:t xml:space="preserve">from this tax </w:t>
            </w:r>
            <w:r w:rsidR="0051275D" w:rsidRPr="008450FE">
              <w:t xml:space="preserve">to the development, construction, maintenance, </w:t>
            </w:r>
            <w:r>
              <w:t xml:space="preserve">operation, </w:t>
            </w:r>
            <w:r w:rsidR="0051275D" w:rsidRPr="008450FE">
              <w:t>improvement</w:t>
            </w:r>
            <w:r>
              <w:t>, and marketing and promotion</w:t>
            </w:r>
            <w:r w:rsidR="0051275D" w:rsidRPr="008450FE">
              <w:t xml:space="preserve"> of </w:t>
            </w:r>
            <w:r>
              <w:t xml:space="preserve">a </w:t>
            </w:r>
            <w:r w:rsidR="0051275D" w:rsidRPr="008450FE">
              <w:t xml:space="preserve">multipurpose </w:t>
            </w:r>
            <w:r w:rsidRPr="00360071">
              <w:t>sports and event complex that will substantially increase regional sporting and other events that produce supplem</w:t>
            </w:r>
            <w:r w:rsidRPr="00360071">
              <w:t>ental economic activity at hotels in the county</w:t>
            </w:r>
            <w:r>
              <w:t>.</w:t>
            </w:r>
            <w:r>
              <w:rPr>
                <w:color w:val="333333"/>
                <w:shd w:val="clear" w:color="auto" w:fill="FFFFFF"/>
              </w:rPr>
              <w:t xml:space="preserve"> </w:t>
            </w:r>
            <w:r>
              <w:rPr>
                <w:shd w:val="clear" w:color="auto" w:fill="FFFFFF"/>
              </w:rPr>
              <w:t>The bill requires the county to</w:t>
            </w:r>
            <w:r w:rsidRPr="00D73F9E">
              <w:rPr>
                <w:shd w:val="clear" w:color="auto" w:fill="FFFFFF"/>
              </w:rPr>
              <w:t xml:space="preserve"> finance at least 40 percent of the annual maintenance and operation costs for the multipurpose sports and event complex from revenue other than revenue attributable to the</w:t>
            </w:r>
            <w:r>
              <w:rPr>
                <w:shd w:val="clear" w:color="auto" w:fill="FFFFFF"/>
              </w:rPr>
              <w:t xml:space="preserve"> hotel occupancy</w:t>
            </w:r>
            <w:r w:rsidRPr="00D73F9E">
              <w:rPr>
                <w:shd w:val="clear" w:color="auto" w:fill="FFFFFF"/>
              </w:rPr>
              <w:t xml:space="preserve"> tax imposed</w:t>
            </w:r>
            <w:r>
              <w:rPr>
                <w:shd w:val="clear" w:color="auto" w:fill="FFFFFF"/>
              </w:rPr>
              <w:t xml:space="preserve"> by the county</w:t>
            </w:r>
            <w:r w:rsidRPr="00D73F9E">
              <w:rPr>
                <w:shd w:val="clear" w:color="auto" w:fill="FFFFFF"/>
              </w:rPr>
              <w:t>.</w:t>
            </w:r>
          </w:p>
          <w:p w14:paraId="785BFE9A" w14:textId="77777777" w:rsidR="00D73F9E" w:rsidRDefault="00D73F9E" w:rsidP="00BE39EC">
            <w:pPr>
              <w:jc w:val="both"/>
              <w:rPr>
                <w:color w:val="333333"/>
                <w:shd w:val="clear" w:color="auto" w:fill="FFFFFF"/>
              </w:rPr>
            </w:pPr>
          </w:p>
          <w:p w14:paraId="6A265B7F" w14:textId="77777777" w:rsidR="00360071" w:rsidRDefault="006D1A95" w:rsidP="00BE39EC">
            <w:pPr>
              <w:jc w:val="both"/>
              <w:rPr>
                <w:shd w:val="clear" w:color="auto" w:fill="FFFFFF"/>
              </w:rPr>
            </w:pPr>
            <w:r>
              <w:rPr>
                <w:shd w:val="clear" w:color="auto" w:fill="FFFFFF"/>
              </w:rPr>
              <w:t>C.S.H.B. 5105 requires the</w:t>
            </w:r>
            <w:r w:rsidRPr="008A0F2D">
              <w:rPr>
                <w:shd w:val="clear" w:color="auto" w:fill="FFFFFF"/>
              </w:rPr>
              <w:t xml:space="preserve"> county to establish a project functionality and marketing advisory committee</w:t>
            </w:r>
            <w:r>
              <w:rPr>
                <w:shd w:val="clear" w:color="auto" w:fill="FFFFFF"/>
              </w:rPr>
              <w:t xml:space="preserve"> and requires the county</w:t>
            </w:r>
            <w:r w:rsidRPr="008A0F2D">
              <w:rPr>
                <w:shd w:val="clear" w:color="auto" w:fill="FFFFFF"/>
              </w:rPr>
              <w:t xml:space="preserve"> commissioners court </w:t>
            </w:r>
            <w:r>
              <w:rPr>
                <w:shd w:val="clear" w:color="auto" w:fill="FFFFFF"/>
              </w:rPr>
              <w:t>to</w:t>
            </w:r>
            <w:r w:rsidRPr="008A0F2D">
              <w:rPr>
                <w:shd w:val="clear" w:color="auto" w:fill="FFFFFF"/>
              </w:rPr>
              <w:t xml:space="preserve"> appoint members to the committee</w:t>
            </w:r>
            <w:r>
              <w:rPr>
                <w:shd w:val="clear" w:color="auto" w:fill="FFFFFF"/>
              </w:rPr>
              <w:t>. The bill requires that the</w:t>
            </w:r>
            <w:r>
              <w:rPr>
                <w:shd w:val="clear" w:color="auto" w:fill="FFFFFF"/>
              </w:rPr>
              <w:t xml:space="preserve"> committee </w:t>
            </w:r>
            <w:r w:rsidRPr="008A0F2D">
              <w:rPr>
                <w:shd w:val="clear" w:color="auto" w:fill="FFFFFF"/>
              </w:rPr>
              <w:t xml:space="preserve">consist of at least nine and not more than 14 members, at least seven of whom must be hotel owners or operators or destination marketing organization representatives from municipalities in which the county imposes the </w:t>
            </w:r>
            <w:r>
              <w:rPr>
                <w:shd w:val="clear" w:color="auto" w:fill="FFFFFF"/>
              </w:rPr>
              <w:t xml:space="preserve">hotel occupancy </w:t>
            </w:r>
            <w:r w:rsidRPr="008A0F2D">
              <w:rPr>
                <w:shd w:val="clear" w:color="auto" w:fill="FFFFFF"/>
              </w:rPr>
              <w:t>tax.</w:t>
            </w:r>
            <w:r>
              <w:t xml:space="preserve"> </w:t>
            </w:r>
            <w:r w:rsidRPr="00D73F9E">
              <w:rPr>
                <w:shd w:val="clear" w:color="auto" w:fill="FFFFFF"/>
              </w:rPr>
              <w:t xml:space="preserve">The </w:t>
            </w:r>
            <w:r>
              <w:rPr>
                <w:shd w:val="clear" w:color="auto" w:fill="FFFFFF"/>
              </w:rPr>
              <w:t>bi</w:t>
            </w:r>
            <w:r>
              <w:rPr>
                <w:shd w:val="clear" w:color="auto" w:fill="FFFFFF"/>
              </w:rPr>
              <w:t xml:space="preserve">ll requires the </w:t>
            </w:r>
            <w:r w:rsidRPr="00D73F9E">
              <w:rPr>
                <w:shd w:val="clear" w:color="auto" w:fill="FFFFFF"/>
              </w:rPr>
              <w:t xml:space="preserve">committee </w:t>
            </w:r>
            <w:r>
              <w:rPr>
                <w:shd w:val="clear" w:color="auto" w:fill="FFFFFF"/>
              </w:rPr>
              <w:t>to</w:t>
            </w:r>
            <w:r w:rsidRPr="00D73F9E">
              <w:rPr>
                <w:shd w:val="clear" w:color="auto" w:fill="FFFFFF"/>
              </w:rPr>
              <w:t xml:space="preserve"> review and make quarterly recommendations to the county on ways to maximize the functionality and marketing of the multipurpose sports and event complex</w:t>
            </w:r>
            <w:r>
              <w:rPr>
                <w:shd w:val="clear" w:color="auto" w:fill="FFFFFF"/>
              </w:rPr>
              <w:t>.</w:t>
            </w:r>
            <w:r w:rsidRPr="00D73F9E">
              <w:rPr>
                <w:shd w:val="clear" w:color="auto" w:fill="FFFFFF"/>
              </w:rPr>
              <w:t xml:space="preserve"> </w:t>
            </w:r>
          </w:p>
          <w:p w14:paraId="2EB2676D" w14:textId="0571646D" w:rsidR="00BE5E68" w:rsidRPr="00360071" w:rsidRDefault="00BE5E68" w:rsidP="00BE39EC">
            <w:pPr>
              <w:jc w:val="both"/>
              <w:rPr>
                <w:color w:val="333333"/>
                <w:shd w:val="clear" w:color="auto" w:fill="FFFFFF"/>
              </w:rPr>
            </w:pPr>
          </w:p>
        </w:tc>
      </w:tr>
      <w:tr w:rsidR="00B32022" w14:paraId="2016AAD7" w14:textId="77777777" w:rsidTr="00345119">
        <w:tc>
          <w:tcPr>
            <w:tcW w:w="9576" w:type="dxa"/>
          </w:tcPr>
          <w:p w14:paraId="7F6B736A" w14:textId="77777777" w:rsidR="008423E4" w:rsidRPr="00A8133F" w:rsidRDefault="006D1A95" w:rsidP="00BE39EC">
            <w:pPr>
              <w:keepNext/>
              <w:rPr>
                <w:b/>
              </w:rPr>
            </w:pPr>
            <w:r w:rsidRPr="009C1E9A">
              <w:rPr>
                <w:b/>
                <w:u w:val="single"/>
              </w:rPr>
              <w:t>EFFECTIVE DATE</w:t>
            </w:r>
            <w:r>
              <w:rPr>
                <w:b/>
              </w:rPr>
              <w:t xml:space="preserve"> </w:t>
            </w:r>
          </w:p>
          <w:p w14:paraId="583793D4" w14:textId="77777777" w:rsidR="008423E4" w:rsidRDefault="008423E4" w:rsidP="00BE39EC"/>
          <w:p w14:paraId="4510F816" w14:textId="77777777" w:rsidR="008423E4" w:rsidRDefault="006D1A95" w:rsidP="00BE39EC">
            <w:pPr>
              <w:pStyle w:val="Header"/>
              <w:tabs>
                <w:tab w:val="clear" w:pos="4320"/>
                <w:tab w:val="clear" w:pos="8640"/>
              </w:tabs>
              <w:jc w:val="both"/>
            </w:pPr>
            <w:r>
              <w:t>September 1, 2023.</w:t>
            </w:r>
          </w:p>
          <w:p w14:paraId="16504292" w14:textId="5C91164A" w:rsidR="00BE5E68" w:rsidRPr="00233FDB" w:rsidRDefault="00BE5E68" w:rsidP="00BE39EC">
            <w:pPr>
              <w:pStyle w:val="Header"/>
              <w:tabs>
                <w:tab w:val="clear" w:pos="4320"/>
                <w:tab w:val="clear" w:pos="8640"/>
              </w:tabs>
              <w:jc w:val="both"/>
              <w:rPr>
                <w:b/>
              </w:rPr>
            </w:pPr>
          </w:p>
        </w:tc>
      </w:tr>
      <w:tr w:rsidR="00B32022" w14:paraId="2E41240A" w14:textId="77777777" w:rsidTr="00345119">
        <w:tc>
          <w:tcPr>
            <w:tcW w:w="9576" w:type="dxa"/>
          </w:tcPr>
          <w:p w14:paraId="66134E17" w14:textId="77777777" w:rsidR="00B008DC" w:rsidRDefault="006D1A95" w:rsidP="00BE39EC">
            <w:pPr>
              <w:jc w:val="both"/>
              <w:rPr>
                <w:b/>
                <w:u w:val="single"/>
              </w:rPr>
            </w:pPr>
            <w:r>
              <w:rPr>
                <w:b/>
                <w:u w:val="single"/>
              </w:rPr>
              <w:t>COMPARISON OF INTRODUCED AND SUB</w:t>
            </w:r>
            <w:r>
              <w:rPr>
                <w:b/>
                <w:u w:val="single"/>
              </w:rPr>
              <w:t>STITUTE</w:t>
            </w:r>
          </w:p>
          <w:p w14:paraId="7AC6E727" w14:textId="77777777" w:rsidR="00B71088" w:rsidRDefault="00B71088" w:rsidP="00BE39EC">
            <w:pPr>
              <w:jc w:val="both"/>
            </w:pPr>
          </w:p>
          <w:p w14:paraId="51F10555" w14:textId="63D3302C" w:rsidR="00B71088" w:rsidRDefault="006D1A95" w:rsidP="00BE39EC">
            <w:pPr>
              <w:jc w:val="both"/>
            </w:pPr>
            <w:r>
              <w:t>While C.S.H.B. 5105 may differ from the introduced in minor or nonsubstantive ways, the following summarizes the substantial differences between the introduced and committee substitute versions of the bill.</w:t>
            </w:r>
          </w:p>
          <w:p w14:paraId="37EBFA8D" w14:textId="590EFC12" w:rsidR="00B71088" w:rsidRDefault="00B71088" w:rsidP="00BE39EC">
            <w:pPr>
              <w:jc w:val="both"/>
            </w:pPr>
          </w:p>
          <w:p w14:paraId="5229F806" w14:textId="35ECBE61" w:rsidR="00B71088" w:rsidRDefault="006D1A95" w:rsidP="00BE39EC">
            <w:pPr>
              <w:jc w:val="both"/>
            </w:pPr>
            <w:r>
              <w:t>The substitute includes a provision not</w:t>
            </w:r>
            <w:r>
              <w:t xml:space="preserve"> in the introduced making the </w:t>
            </w:r>
            <w:r w:rsidR="00874E68">
              <w:t xml:space="preserve">county hotel occupancy </w:t>
            </w:r>
            <w:r>
              <w:t>tax inapplicable to a hotel that is located within a 2.5-mile radius of the intersection of the Dallas North Tollway and U.S. Highway 380. The substitute omits the provision</w:t>
            </w:r>
            <w:r w:rsidR="00874E68">
              <w:t xml:space="preserve"> in the introduced</w:t>
            </w:r>
            <w:r>
              <w:t xml:space="preserve"> prohibiting</w:t>
            </w:r>
            <w:r>
              <w:t xml:space="preserve"> the tax from being imposed on an applicable hotel project that is located within 1,000 feet of a convention center and that resides on a contiguous property in more than one county.</w:t>
            </w:r>
          </w:p>
          <w:p w14:paraId="4A1FD030" w14:textId="7DED6E8F" w:rsidR="00B71088" w:rsidRDefault="00B71088" w:rsidP="00BE39EC">
            <w:pPr>
              <w:jc w:val="both"/>
            </w:pPr>
          </w:p>
          <w:p w14:paraId="022B2899" w14:textId="4B4ECA7E" w:rsidR="00B71088" w:rsidRDefault="006D1A95" w:rsidP="00BE39EC">
            <w:pPr>
              <w:jc w:val="both"/>
            </w:pPr>
            <w:r>
              <w:t>Whereas the</w:t>
            </w:r>
            <w:r>
              <w:t xml:space="preserve"> introduced restricted the county's use of its hotel occupancy tax revenue to </w:t>
            </w:r>
            <w:r w:rsidRPr="00B71088">
              <w:t>the development, construction, maintenance, and improvement of multipurpose facilities to enhance hotel activity and encourage tourism</w:t>
            </w:r>
            <w:r>
              <w:t xml:space="preserve">, the substitute restricts the county's use </w:t>
            </w:r>
            <w:r>
              <w:t xml:space="preserve">of that revenue to </w:t>
            </w:r>
            <w:r w:rsidRPr="00B71088">
              <w:t xml:space="preserve">the development, construction, maintenance, operation, improvement, and marketing and promotion of a multipurpose sports and event complex that will substantially increase regional sporting and other events that produce </w:t>
            </w:r>
            <w:r w:rsidRPr="00B71088">
              <w:t>supplemental economic activity at hotels in the county</w:t>
            </w:r>
            <w:r>
              <w:t xml:space="preserve">. The substitute includes </w:t>
            </w:r>
            <w:r w:rsidR="0033267E">
              <w:t xml:space="preserve">a provision not in the introduced requiring the county to finance at least </w:t>
            </w:r>
            <w:r w:rsidR="0033267E" w:rsidRPr="0033267E">
              <w:t>40 percent of the annual maintenance and operation costs for the multipurpose sports and event complex from revenue other than revenue attributable to the</w:t>
            </w:r>
            <w:r w:rsidR="0033267E">
              <w:t xml:space="preserve"> county's hotel occupancy</w:t>
            </w:r>
            <w:r w:rsidR="0033267E" w:rsidRPr="0033267E">
              <w:t xml:space="preserve"> tax </w:t>
            </w:r>
            <w:r w:rsidR="0033267E">
              <w:t xml:space="preserve">and includes additional </w:t>
            </w:r>
            <w:r>
              <w:t>provisions not in the introduced relating to the establishment and the duties of a project functionality and marketing advisory committee</w:t>
            </w:r>
            <w:r w:rsidR="0033267E">
              <w:t>.</w:t>
            </w:r>
          </w:p>
          <w:p w14:paraId="4C3F2A28" w14:textId="26666074" w:rsidR="00B71088" w:rsidRPr="00B71088" w:rsidRDefault="00B71088" w:rsidP="00BE39EC">
            <w:pPr>
              <w:jc w:val="both"/>
            </w:pPr>
          </w:p>
        </w:tc>
      </w:tr>
      <w:tr w:rsidR="00B32022" w14:paraId="73CE619C" w14:textId="77777777" w:rsidTr="00345119">
        <w:tc>
          <w:tcPr>
            <w:tcW w:w="9576" w:type="dxa"/>
          </w:tcPr>
          <w:p w14:paraId="50C6C05C" w14:textId="77777777" w:rsidR="00B008DC" w:rsidRPr="009C1E9A" w:rsidRDefault="00B008DC" w:rsidP="00BE39EC">
            <w:pPr>
              <w:rPr>
                <w:b/>
                <w:u w:val="single"/>
              </w:rPr>
            </w:pPr>
          </w:p>
        </w:tc>
      </w:tr>
      <w:tr w:rsidR="00B32022" w14:paraId="026B9F74" w14:textId="77777777" w:rsidTr="00345119">
        <w:tc>
          <w:tcPr>
            <w:tcW w:w="9576" w:type="dxa"/>
          </w:tcPr>
          <w:p w14:paraId="0618D9E3" w14:textId="77777777" w:rsidR="00B008DC" w:rsidRPr="00B008DC" w:rsidRDefault="00B008DC" w:rsidP="00BE39EC">
            <w:pPr>
              <w:jc w:val="both"/>
            </w:pPr>
          </w:p>
        </w:tc>
      </w:tr>
    </w:tbl>
    <w:p w14:paraId="20A4BEBE" w14:textId="77777777" w:rsidR="008423E4" w:rsidRPr="00BE0E75" w:rsidRDefault="008423E4" w:rsidP="00BE39EC">
      <w:pPr>
        <w:jc w:val="both"/>
        <w:rPr>
          <w:rFonts w:ascii="Arial" w:hAnsi="Arial"/>
          <w:sz w:val="16"/>
          <w:szCs w:val="16"/>
        </w:rPr>
      </w:pPr>
    </w:p>
    <w:p w14:paraId="6B36412F" w14:textId="77777777" w:rsidR="004108C3" w:rsidRPr="008423E4" w:rsidRDefault="004108C3" w:rsidP="00BE39EC"/>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57910" w14:textId="77777777" w:rsidR="00000000" w:rsidRDefault="006D1A95">
      <w:r>
        <w:separator/>
      </w:r>
    </w:p>
  </w:endnote>
  <w:endnote w:type="continuationSeparator" w:id="0">
    <w:p w14:paraId="63DB7A0D" w14:textId="77777777" w:rsidR="00000000" w:rsidRDefault="006D1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FC62C"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B32022" w14:paraId="2F17F06D" w14:textId="77777777" w:rsidTr="009C1E9A">
      <w:trPr>
        <w:cantSplit/>
      </w:trPr>
      <w:tc>
        <w:tcPr>
          <w:tcW w:w="0" w:type="pct"/>
        </w:tcPr>
        <w:p w14:paraId="640B9F3D" w14:textId="77777777" w:rsidR="00137D90" w:rsidRDefault="00137D90" w:rsidP="009C1E9A">
          <w:pPr>
            <w:pStyle w:val="Footer"/>
            <w:tabs>
              <w:tab w:val="clear" w:pos="8640"/>
              <w:tab w:val="right" w:pos="9360"/>
            </w:tabs>
          </w:pPr>
        </w:p>
      </w:tc>
      <w:tc>
        <w:tcPr>
          <w:tcW w:w="2395" w:type="pct"/>
        </w:tcPr>
        <w:p w14:paraId="2CE8C2CD" w14:textId="77777777" w:rsidR="00137D90" w:rsidRDefault="00137D90" w:rsidP="009C1E9A">
          <w:pPr>
            <w:pStyle w:val="Footer"/>
            <w:tabs>
              <w:tab w:val="clear" w:pos="8640"/>
              <w:tab w:val="right" w:pos="9360"/>
            </w:tabs>
          </w:pPr>
        </w:p>
        <w:p w14:paraId="7885EB91" w14:textId="77777777" w:rsidR="001A4310" w:rsidRDefault="001A4310" w:rsidP="009C1E9A">
          <w:pPr>
            <w:pStyle w:val="Footer"/>
            <w:tabs>
              <w:tab w:val="clear" w:pos="8640"/>
              <w:tab w:val="right" w:pos="9360"/>
            </w:tabs>
          </w:pPr>
        </w:p>
        <w:p w14:paraId="44AB0340" w14:textId="77777777" w:rsidR="00137D90" w:rsidRDefault="00137D90" w:rsidP="009C1E9A">
          <w:pPr>
            <w:pStyle w:val="Footer"/>
            <w:tabs>
              <w:tab w:val="clear" w:pos="8640"/>
              <w:tab w:val="right" w:pos="9360"/>
            </w:tabs>
          </w:pPr>
        </w:p>
      </w:tc>
      <w:tc>
        <w:tcPr>
          <w:tcW w:w="2453" w:type="pct"/>
        </w:tcPr>
        <w:p w14:paraId="6FA8858A" w14:textId="77777777" w:rsidR="00137D90" w:rsidRDefault="00137D90" w:rsidP="009C1E9A">
          <w:pPr>
            <w:pStyle w:val="Footer"/>
            <w:tabs>
              <w:tab w:val="clear" w:pos="8640"/>
              <w:tab w:val="right" w:pos="9360"/>
            </w:tabs>
            <w:jc w:val="right"/>
          </w:pPr>
        </w:p>
      </w:tc>
    </w:tr>
    <w:tr w:rsidR="00B32022" w14:paraId="395FF38E" w14:textId="77777777" w:rsidTr="009C1E9A">
      <w:trPr>
        <w:cantSplit/>
      </w:trPr>
      <w:tc>
        <w:tcPr>
          <w:tcW w:w="0" w:type="pct"/>
        </w:tcPr>
        <w:p w14:paraId="446F51A6" w14:textId="77777777" w:rsidR="00EC379B" w:rsidRDefault="00EC379B" w:rsidP="009C1E9A">
          <w:pPr>
            <w:pStyle w:val="Footer"/>
            <w:tabs>
              <w:tab w:val="clear" w:pos="8640"/>
              <w:tab w:val="right" w:pos="9360"/>
            </w:tabs>
          </w:pPr>
        </w:p>
      </w:tc>
      <w:tc>
        <w:tcPr>
          <w:tcW w:w="2395" w:type="pct"/>
        </w:tcPr>
        <w:p w14:paraId="7D9C3527" w14:textId="7762AB24" w:rsidR="00EC379B" w:rsidRPr="009C1E9A" w:rsidRDefault="006D1A95" w:rsidP="009C1E9A">
          <w:pPr>
            <w:pStyle w:val="Footer"/>
            <w:tabs>
              <w:tab w:val="clear" w:pos="8640"/>
              <w:tab w:val="right" w:pos="9360"/>
            </w:tabs>
            <w:rPr>
              <w:rFonts w:ascii="Shruti" w:hAnsi="Shruti"/>
              <w:sz w:val="22"/>
            </w:rPr>
          </w:pPr>
          <w:r>
            <w:rPr>
              <w:rFonts w:ascii="Shruti" w:hAnsi="Shruti"/>
              <w:sz w:val="22"/>
            </w:rPr>
            <w:t>88R 29397-D</w:t>
          </w:r>
        </w:p>
      </w:tc>
      <w:tc>
        <w:tcPr>
          <w:tcW w:w="2453" w:type="pct"/>
        </w:tcPr>
        <w:p w14:paraId="6CB00FED" w14:textId="360B4E02" w:rsidR="00EC379B" w:rsidRDefault="006D1A95" w:rsidP="009C1E9A">
          <w:pPr>
            <w:pStyle w:val="Footer"/>
            <w:tabs>
              <w:tab w:val="clear" w:pos="8640"/>
              <w:tab w:val="right" w:pos="9360"/>
            </w:tabs>
            <w:jc w:val="right"/>
          </w:pPr>
          <w:r>
            <w:fldChar w:fldCharType="begin"/>
          </w:r>
          <w:r>
            <w:instrText xml:space="preserve"> DOCPROPERTY  OTID  \* MERGEFORMAT </w:instrText>
          </w:r>
          <w:r>
            <w:fldChar w:fldCharType="separate"/>
          </w:r>
          <w:r w:rsidR="00A25C56">
            <w:t>23.129.373</w:t>
          </w:r>
          <w:r>
            <w:fldChar w:fldCharType="end"/>
          </w:r>
        </w:p>
      </w:tc>
    </w:tr>
    <w:tr w:rsidR="00B32022" w14:paraId="7ACE3955" w14:textId="77777777" w:rsidTr="009C1E9A">
      <w:trPr>
        <w:cantSplit/>
      </w:trPr>
      <w:tc>
        <w:tcPr>
          <w:tcW w:w="0" w:type="pct"/>
        </w:tcPr>
        <w:p w14:paraId="310F5D30" w14:textId="77777777" w:rsidR="00EC379B" w:rsidRDefault="00EC379B" w:rsidP="009C1E9A">
          <w:pPr>
            <w:pStyle w:val="Footer"/>
            <w:tabs>
              <w:tab w:val="clear" w:pos="4320"/>
              <w:tab w:val="clear" w:pos="8640"/>
              <w:tab w:val="left" w:pos="2865"/>
            </w:tabs>
          </w:pPr>
        </w:p>
      </w:tc>
      <w:tc>
        <w:tcPr>
          <w:tcW w:w="2395" w:type="pct"/>
        </w:tcPr>
        <w:p w14:paraId="3576C2AB" w14:textId="7A0188C0" w:rsidR="00EC379B" w:rsidRPr="009C1E9A" w:rsidRDefault="006D1A95" w:rsidP="009C1E9A">
          <w:pPr>
            <w:pStyle w:val="Footer"/>
            <w:tabs>
              <w:tab w:val="clear" w:pos="4320"/>
              <w:tab w:val="clear" w:pos="8640"/>
              <w:tab w:val="left" w:pos="2865"/>
            </w:tabs>
            <w:rPr>
              <w:rFonts w:ascii="Shruti" w:hAnsi="Shruti"/>
              <w:sz w:val="22"/>
            </w:rPr>
          </w:pPr>
          <w:r>
            <w:rPr>
              <w:rFonts w:ascii="Shruti" w:hAnsi="Shruti"/>
              <w:sz w:val="22"/>
            </w:rPr>
            <w:t>Substitute Document Number: 88R 24366</w:t>
          </w:r>
        </w:p>
      </w:tc>
      <w:tc>
        <w:tcPr>
          <w:tcW w:w="2453" w:type="pct"/>
        </w:tcPr>
        <w:p w14:paraId="2816F7DC" w14:textId="77777777" w:rsidR="00EC379B" w:rsidRDefault="00EC379B" w:rsidP="006D504F">
          <w:pPr>
            <w:pStyle w:val="Footer"/>
            <w:rPr>
              <w:rStyle w:val="PageNumber"/>
            </w:rPr>
          </w:pPr>
        </w:p>
        <w:p w14:paraId="142F6F51" w14:textId="77777777" w:rsidR="00EC379B" w:rsidRDefault="00EC379B" w:rsidP="009C1E9A">
          <w:pPr>
            <w:pStyle w:val="Footer"/>
            <w:tabs>
              <w:tab w:val="clear" w:pos="8640"/>
              <w:tab w:val="right" w:pos="9360"/>
            </w:tabs>
            <w:jc w:val="right"/>
          </w:pPr>
        </w:p>
      </w:tc>
    </w:tr>
    <w:tr w:rsidR="00B32022" w14:paraId="51BE0EE2" w14:textId="77777777" w:rsidTr="009C1E9A">
      <w:trPr>
        <w:cantSplit/>
        <w:trHeight w:val="323"/>
      </w:trPr>
      <w:tc>
        <w:tcPr>
          <w:tcW w:w="0" w:type="pct"/>
          <w:gridSpan w:val="3"/>
        </w:tcPr>
        <w:p w14:paraId="547A79F3" w14:textId="77777777" w:rsidR="00EC379B" w:rsidRDefault="006D1A95"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79A533B8" w14:textId="77777777" w:rsidR="00EC379B" w:rsidRDefault="00EC379B" w:rsidP="009C1E9A">
          <w:pPr>
            <w:pStyle w:val="Footer"/>
            <w:tabs>
              <w:tab w:val="clear" w:pos="8640"/>
              <w:tab w:val="right" w:pos="9360"/>
            </w:tabs>
            <w:jc w:val="center"/>
          </w:pPr>
        </w:p>
      </w:tc>
    </w:tr>
  </w:tbl>
  <w:p w14:paraId="034DC374"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2182A"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12F08" w14:textId="77777777" w:rsidR="00000000" w:rsidRDefault="006D1A95">
      <w:r>
        <w:separator/>
      </w:r>
    </w:p>
  </w:footnote>
  <w:footnote w:type="continuationSeparator" w:id="0">
    <w:p w14:paraId="54E328E4" w14:textId="77777777" w:rsidR="00000000" w:rsidRDefault="006D1A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E8C69"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96D66"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34367"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8E6FD4"/>
    <w:multiLevelType w:val="hybridMultilevel"/>
    <w:tmpl w:val="D4C07E5A"/>
    <w:lvl w:ilvl="0" w:tplc="E39C8588">
      <w:start w:val="1"/>
      <w:numFmt w:val="bullet"/>
      <w:lvlText w:val=""/>
      <w:lvlJc w:val="left"/>
      <w:pPr>
        <w:tabs>
          <w:tab w:val="num" w:pos="720"/>
        </w:tabs>
        <w:ind w:left="720" w:hanging="360"/>
      </w:pPr>
      <w:rPr>
        <w:rFonts w:ascii="Symbol" w:hAnsi="Symbol" w:hint="default"/>
      </w:rPr>
    </w:lvl>
    <w:lvl w:ilvl="1" w:tplc="19482730" w:tentative="1">
      <w:start w:val="1"/>
      <w:numFmt w:val="bullet"/>
      <w:lvlText w:val="o"/>
      <w:lvlJc w:val="left"/>
      <w:pPr>
        <w:ind w:left="1440" w:hanging="360"/>
      </w:pPr>
      <w:rPr>
        <w:rFonts w:ascii="Courier New" w:hAnsi="Courier New" w:cs="Courier New" w:hint="default"/>
      </w:rPr>
    </w:lvl>
    <w:lvl w:ilvl="2" w:tplc="D17E8466" w:tentative="1">
      <w:start w:val="1"/>
      <w:numFmt w:val="bullet"/>
      <w:lvlText w:val=""/>
      <w:lvlJc w:val="left"/>
      <w:pPr>
        <w:ind w:left="2160" w:hanging="360"/>
      </w:pPr>
      <w:rPr>
        <w:rFonts w:ascii="Wingdings" w:hAnsi="Wingdings" w:hint="default"/>
      </w:rPr>
    </w:lvl>
    <w:lvl w:ilvl="3" w:tplc="E0629ACA" w:tentative="1">
      <w:start w:val="1"/>
      <w:numFmt w:val="bullet"/>
      <w:lvlText w:val=""/>
      <w:lvlJc w:val="left"/>
      <w:pPr>
        <w:ind w:left="2880" w:hanging="360"/>
      </w:pPr>
      <w:rPr>
        <w:rFonts w:ascii="Symbol" w:hAnsi="Symbol" w:hint="default"/>
      </w:rPr>
    </w:lvl>
    <w:lvl w:ilvl="4" w:tplc="BEAA0A08" w:tentative="1">
      <w:start w:val="1"/>
      <w:numFmt w:val="bullet"/>
      <w:lvlText w:val="o"/>
      <w:lvlJc w:val="left"/>
      <w:pPr>
        <w:ind w:left="3600" w:hanging="360"/>
      </w:pPr>
      <w:rPr>
        <w:rFonts w:ascii="Courier New" w:hAnsi="Courier New" w:cs="Courier New" w:hint="default"/>
      </w:rPr>
    </w:lvl>
    <w:lvl w:ilvl="5" w:tplc="50344EF4" w:tentative="1">
      <w:start w:val="1"/>
      <w:numFmt w:val="bullet"/>
      <w:lvlText w:val=""/>
      <w:lvlJc w:val="left"/>
      <w:pPr>
        <w:ind w:left="4320" w:hanging="360"/>
      </w:pPr>
      <w:rPr>
        <w:rFonts w:ascii="Wingdings" w:hAnsi="Wingdings" w:hint="default"/>
      </w:rPr>
    </w:lvl>
    <w:lvl w:ilvl="6" w:tplc="5C4C3A96" w:tentative="1">
      <w:start w:val="1"/>
      <w:numFmt w:val="bullet"/>
      <w:lvlText w:val=""/>
      <w:lvlJc w:val="left"/>
      <w:pPr>
        <w:ind w:left="5040" w:hanging="360"/>
      </w:pPr>
      <w:rPr>
        <w:rFonts w:ascii="Symbol" w:hAnsi="Symbol" w:hint="default"/>
      </w:rPr>
    </w:lvl>
    <w:lvl w:ilvl="7" w:tplc="0B96DA84" w:tentative="1">
      <w:start w:val="1"/>
      <w:numFmt w:val="bullet"/>
      <w:lvlText w:val="o"/>
      <w:lvlJc w:val="left"/>
      <w:pPr>
        <w:ind w:left="5760" w:hanging="360"/>
      </w:pPr>
      <w:rPr>
        <w:rFonts w:ascii="Courier New" w:hAnsi="Courier New" w:cs="Courier New" w:hint="default"/>
      </w:rPr>
    </w:lvl>
    <w:lvl w:ilvl="8" w:tplc="76DC6DF8" w:tentative="1">
      <w:start w:val="1"/>
      <w:numFmt w:val="bullet"/>
      <w:lvlText w:val=""/>
      <w:lvlJc w:val="left"/>
      <w:pPr>
        <w:ind w:left="6480" w:hanging="360"/>
      </w:pPr>
      <w:rPr>
        <w:rFonts w:ascii="Wingdings" w:hAnsi="Wingdings" w:hint="default"/>
      </w:rPr>
    </w:lvl>
  </w:abstractNum>
  <w:num w:numId="1" w16cid:durableId="7624572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89D"/>
    <w:rsid w:val="00000A70"/>
    <w:rsid w:val="000032B8"/>
    <w:rsid w:val="00003B06"/>
    <w:rsid w:val="000054B9"/>
    <w:rsid w:val="00007461"/>
    <w:rsid w:val="0001117E"/>
    <w:rsid w:val="0001125F"/>
    <w:rsid w:val="000116C2"/>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9699E"/>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2E3"/>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267E"/>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007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841"/>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275D"/>
    <w:rsid w:val="0051324D"/>
    <w:rsid w:val="00515466"/>
    <w:rsid w:val="005154F7"/>
    <w:rsid w:val="005159DE"/>
    <w:rsid w:val="005269CE"/>
    <w:rsid w:val="00527517"/>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22DA"/>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12F"/>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1A95"/>
    <w:rsid w:val="006D3005"/>
    <w:rsid w:val="006D449C"/>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3571"/>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322"/>
    <w:rsid w:val="00812BE3"/>
    <w:rsid w:val="00814516"/>
    <w:rsid w:val="00814A3A"/>
    <w:rsid w:val="00815C9D"/>
    <w:rsid w:val="008170E2"/>
    <w:rsid w:val="00823E4C"/>
    <w:rsid w:val="00827749"/>
    <w:rsid w:val="00827B7E"/>
    <w:rsid w:val="00830EEB"/>
    <w:rsid w:val="008347A9"/>
    <w:rsid w:val="00835628"/>
    <w:rsid w:val="00835E90"/>
    <w:rsid w:val="0084176D"/>
    <w:rsid w:val="008423E4"/>
    <w:rsid w:val="00842900"/>
    <w:rsid w:val="008450FE"/>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4E68"/>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0F2D"/>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0E98"/>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2DD6"/>
    <w:rsid w:val="00A1446F"/>
    <w:rsid w:val="00A151B5"/>
    <w:rsid w:val="00A220FF"/>
    <w:rsid w:val="00A227E0"/>
    <w:rsid w:val="00A232E4"/>
    <w:rsid w:val="00A24AAD"/>
    <w:rsid w:val="00A25C56"/>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08DC"/>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2022"/>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1088"/>
    <w:rsid w:val="00B73BB4"/>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9EC"/>
    <w:rsid w:val="00BE3E30"/>
    <w:rsid w:val="00BE5274"/>
    <w:rsid w:val="00BE5E68"/>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39AB"/>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2A7A"/>
    <w:rsid w:val="00CA3608"/>
    <w:rsid w:val="00CA4CA0"/>
    <w:rsid w:val="00CA5E5E"/>
    <w:rsid w:val="00CA7D7B"/>
    <w:rsid w:val="00CB0131"/>
    <w:rsid w:val="00CB0AE4"/>
    <w:rsid w:val="00CB0C21"/>
    <w:rsid w:val="00CB0D1A"/>
    <w:rsid w:val="00CB3627"/>
    <w:rsid w:val="00CB4B4B"/>
    <w:rsid w:val="00CB4B73"/>
    <w:rsid w:val="00CB63E2"/>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5B6F"/>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289D"/>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3F9E"/>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4624"/>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384"/>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E9FBC4C-726C-44EC-B0D7-1C6589F43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Hyperlink">
    <w:name w:val="Hyperlink"/>
    <w:basedOn w:val="DefaultParagraphFont"/>
    <w:uiPriority w:val="99"/>
    <w:semiHidden/>
    <w:unhideWhenUsed/>
    <w:rsid w:val="008450FE"/>
    <w:rPr>
      <w:color w:val="0000FF"/>
      <w:u w:val="single"/>
    </w:rPr>
  </w:style>
  <w:style w:type="character" w:styleId="CommentReference">
    <w:name w:val="annotation reference"/>
    <w:basedOn w:val="DefaultParagraphFont"/>
    <w:semiHidden/>
    <w:unhideWhenUsed/>
    <w:rsid w:val="00C339AB"/>
    <w:rPr>
      <w:sz w:val="16"/>
      <w:szCs w:val="16"/>
    </w:rPr>
  </w:style>
  <w:style w:type="paragraph" w:styleId="CommentText">
    <w:name w:val="annotation text"/>
    <w:basedOn w:val="Normal"/>
    <w:link w:val="CommentTextChar"/>
    <w:semiHidden/>
    <w:unhideWhenUsed/>
    <w:rsid w:val="00C339AB"/>
    <w:rPr>
      <w:sz w:val="20"/>
      <w:szCs w:val="20"/>
    </w:rPr>
  </w:style>
  <w:style w:type="character" w:customStyle="1" w:styleId="CommentTextChar">
    <w:name w:val="Comment Text Char"/>
    <w:basedOn w:val="DefaultParagraphFont"/>
    <w:link w:val="CommentText"/>
    <w:semiHidden/>
    <w:rsid w:val="00C339AB"/>
  </w:style>
  <w:style w:type="paragraph" w:styleId="CommentSubject">
    <w:name w:val="annotation subject"/>
    <w:basedOn w:val="CommentText"/>
    <w:next w:val="CommentText"/>
    <w:link w:val="CommentSubjectChar"/>
    <w:semiHidden/>
    <w:unhideWhenUsed/>
    <w:rsid w:val="00C339AB"/>
    <w:rPr>
      <w:b/>
      <w:bCs/>
    </w:rPr>
  </w:style>
  <w:style w:type="character" w:customStyle="1" w:styleId="CommentSubjectChar">
    <w:name w:val="Comment Subject Char"/>
    <w:basedOn w:val="CommentTextChar"/>
    <w:link w:val="CommentSubject"/>
    <w:semiHidden/>
    <w:rsid w:val="00C339AB"/>
    <w:rPr>
      <w:b/>
      <w:bCs/>
    </w:rPr>
  </w:style>
  <w:style w:type="paragraph" w:styleId="Revision">
    <w:name w:val="Revision"/>
    <w:hidden/>
    <w:uiPriority w:val="99"/>
    <w:semiHidden/>
    <w:rsid w:val="00DD4624"/>
    <w:rPr>
      <w:sz w:val="24"/>
      <w:szCs w:val="24"/>
    </w:rPr>
  </w:style>
  <w:style w:type="paragraph" w:styleId="ListParagraph">
    <w:name w:val="List Paragraph"/>
    <w:basedOn w:val="Normal"/>
    <w:uiPriority w:val="34"/>
    <w:qFormat/>
    <w:rsid w:val="003600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705</Words>
  <Characters>3920</Characters>
  <Application>Microsoft Office Word</Application>
  <DocSecurity>4</DocSecurity>
  <Lines>86</Lines>
  <Paragraphs>20</Paragraphs>
  <ScaleCrop>false</ScaleCrop>
  <HeadingPairs>
    <vt:vector size="2" baseType="variant">
      <vt:variant>
        <vt:lpstr>Title</vt:lpstr>
      </vt:variant>
      <vt:variant>
        <vt:i4>1</vt:i4>
      </vt:variant>
    </vt:vector>
  </HeadingPairs>
  <TitlesOfParts>
    <vt:vector size="1" baseType="lpstr">
      <vt:lpstr>BA - HB05105 (Committee Report (Substituted))</vt:lpstr>
    </vt:vector>
  </TitlesOfParts>
  <Company>State of Texas</Company>
  <LinksUpToDate>false</LinksUpToDate>
  <CharactersWithSpaces>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29397</dc:subject>
  <dc:creator>State of Texas</dc:creator>
  <dc:description>HB 5105 by Stucky-(H)Ways &amp; Means (Substitute Document Number: 88R 24366)</dc:description>
  <cp:lastModifiedBy>Damian Duarte</cp:lastModifiedBy>
  <cp:revision>2</cp:revision>
  <cp:lastPrinted>2003-11-26T17:21:00Z</cp:lastPrinted>
  <dcterms:created xsi:type="dcterms:W3CDTF">2023-05-09T18:14:00Z</dcterms:created>
  <dcterms:modified xsi:type="dcterms:W3CDTF">2023-05-09T18:14:00Z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23.129.373</vt:lpwstr>
  </property>
</Properties>
</file>