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14CC3" w14:paraId="6044C592" w14:textId="77777777" w:rsidTr="00345119">
        <w:tc>
          <w:tcPr>
            <w:tcW w:w="9576" w:type="dxa"/>
            <w:noWrap/>
          </w:tcPr>
          <w:p w14:paraId="57CFF708" w14:textId="77777777" w:rsidR="008423E4" w:rsidRPr="0022177D" w:rsidRDefault="00FA20AB" w:rsidP="00E738C7">
            <w:pPr>
              <w:pStyle w:val="Heading1"/>
            </w:pPr>
            <w:r w:rsidRPr="00631897">
              <w:t>BILL ANALYSIS</w:t>
            </w:r>
          </w:p>
        </w:tc>
      </w:tr>
    </w:tbl>
    <w:p w14:paraId="495C5FCF" w14:textId="77777777" w:rsidR="008423E4" w:rsidRPr="0022177D" w:rsidRDefault="008423E4" w:rsidP="00E738C7">
      <w:pPr>
        <w:jc w:val="center"/>
      </w:pPr>
    </w:p>
    <w:p w14:paraId="77D46602" w14:textId="77777777" w:rsidR="008423E4" w:rsidRPr="00B31F0E" w:rsidRDefault="008423E4" w:rsidP="00E738C7"/>
    <w:p w14:paraId="2A5A4474" w14:textId="77777777" w:rsidR="008423E4" w:rsidRPr="00742794" w:rsidRDefault="008423E4" w:rsidP="00E738C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14CC3" w14:paraId="0EF8706B" w14:textId="77777777" w:rsidTr="00345119">
        <w:tc>
          <w:tcPr>
            <w:tcW w:w="9576" w:type="dxa"/>
          </w:tcPr>
          <w:p w14:paraId="6400D501" w14:textId="44782CC4" w:rsidR="008423E4" w:rsidRPr="00861995" w:rsidRDefault="00FA20AB" w:rsidP="00E738C7">
            <w:pPr>
              <w:jc w:val="right"/>
            </w:pPr>
            <w:r>
              <w:t>H.B. 5146</w:t>
            </w:r>
          </w:p>
        </w:tc>
      </w:tr>
      <w:tr w:rsidR="00914CC3" w14:paraId="723E3A81" w14:textId="77777777" w:rsidTr="00345119">
        <w:tc>
          <w:tcPr>
            <w:tcW w:w="9576" w:type="dxa"/>
          </w:tcPr>
          <w:p w14:paraId="6BFD5F4F" w14:textId="34AE0CF4" w:rsidR="008423E4" w:rsidRPr="00861995" w:rsidRDefault="00FA20AB" w:rsidP="00E738C7">
            <w:pPr>
              <w:jc w:val="right"/>
            </w:pPr>
            <w:r>
              <w:t xml:space="preserve">By: </w:t>
            </w:r>
            <w:r w:rsidR="00052222">
              <w:t>Raney</w:t>
            </w:r>
          </w:p>
        </w:tc>
      </w:tr>
      <w:tr w:rsidR="00914CC3" w14:paraId="2A425E22" w14:textId="77777777" w:rsidTr="00345119">
        <w:tc>
          <w:tcPr>
            <w:tcW w:w="9576" w:type="dxa"/>
          </w:tcPr>
          <w:p w14:paraId="58575AC7" w14:textId="09410A37" w:rsidR="008423E4" w:rsidRPr="00861995" w:rsidRDefault="00FA20AB" w:rsidP="00E738C7">
            <w:pPr>
              <w:jc w:val="right"/>
            </w:pPr>
            <w:r>
              <w:t>Higher Education</w:t>
            </w:r>
          </w:p>
        </w:tc>
      </w:tr>
      <w:tr w:rsidR="00914CC3" w14:paraId="68CD8F91" w14:textId="77777777" w:rsidTr="00345119">
        <w:tc>
          <w:tcPr>
            <w:tcW w:w="9576" w:type="dxa"/>
          </w:tcPr>
          <w:p w14:paraId="4F221006" w14:textId="693945F4" w:rsidR="008423E4" w:rsidRDefault="00FA20AB" w:rsidP="00E738C7">
            <w:pPr>
              <w:jc w:val="right"/>
            </w:pPr>
            <w:r>
              <w:t>Committee Report (Unamended)</w:t>
            </w:r>
          </w:p>
        </w:tc>
      </w:tr>
    </w:tbl>
    <w:p w14:paraId="3109A244" w14:textId="77777777" w:rsidR="008423E4" w:rsidRDefault="008423E4" w:rsidP="00E738C7">
      <w:pPr>
        <w:tabs>
          <w:tab w:val="right" w:pos="9360"/>
        </w:tabs>
      </w:pPr>
    </w:p>
    <w:p w14:paraId="59A2D674" w14:textId="77777777" w:rsidR="008423E4" w:rsidRDefault="008423E4" w:rsidP="00E738C7"/>
    <w:p w14:paraId="570A127B" w14:textId="77777777" w:rsidR="008423E4" w:rsidRDefault="008423E4" w:rsidP="00E738C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14CC3" w14:paraId="63662CC8" w14:textId="77777777" w:rsidTr="00345119">
        <w:tc>
          <w:tcPr>
            <w:tcW w:w="9576" w:type="dxa"/>
          </w:tcPr>
          <w:p w14:paraId="3873D991" w14:textId="77777777" w:rsidR="008423E4" w:rsidRPr="00A8133F" w:rsidRDefault="00FA20AB" w:rsidP="00E738C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F6E6432" w14:textId="77777777" w:rsidR="008423E4" w:rsidRDefault="008423E4" w:rsidP="00E738C7"/>
          <w:p w14:paraId="55C42D80" w14:textId="55BA957A" w:rsidR="00CD0150" w:rsidRDefault="00FA20AB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Constituents in House District 14 and nonprofit organizations have raised concerns regarding the</w:t>
            </w:r>
            <w:r w:rsidR="00052222" w:rsidRPr="00052222">
              <w:t xml:space="preserve"> lack of inclusive postsecondary education </w:t>
            </w:r>
            <w:r>
              <w:t>c</w:t>
            </w:r>
            <w:r w:rsidR="00052222" w:rsidRPr="00052222">
              <w:t xml:space="preserve">omprehensive </w:t>
            </w:r>
            <w:r>
              <w:t>t</w:t>
            </w:r>
            <w:r w:rsidR="00052222" w:rsidRPr="00052222">
              <w:t xml:space="preserve">ransition </w:t>
            </w:r>
            <w:r>
              <w:t>p</w:t>
            </w:r>
            <w:r w:rsidR="00052222" w:rsidRPr="00052222">
              <w:t>rograms for individuals with intellectual and developmental disabilities in Texas</w:t>
            </w:r>
            <w:r>
              <w:t>, resulting in m</w:t>
            </w:r>
            <w:r w:rsidR="00052222" w:rsidRPr="00052222">
              <w:t xml:space="preserve">any students seeking programs outside of Texas or not </w:t>
            </w:r>
            <w:r>
              <w:t xml:space="preserve">accessing programs </w:t>
            </w:r>
            <w:r w:rsidR="00052222" w:rsidRPr="00052222">
              <w:t xml:space="preserve">at all. </w:t>
            </w:r>
            <w:r>
              <w:t>Two</w:t>
            </w:r>
            <w:r w:rsidR="00052222" w:rsidRPr="00052222">
              <w:t xml:space="preserve"> </w:t>
            </w:r>
            <w:r>
              <w:t>of th</w:t>
            </w:r>
            <w:r>
              <w:t xml:space="preserve">e five comprehensive transition programs in Texas </w:t>
            </w:r>
            <w:r w:rsidR="00052222" w:rsidRPr="00052222">
              <w:t>are four</w:t>
            </w:r>
            <w:r>
              <w:t>-</w:t>
            </w:r>
            <w:r w:rsidR="00052222" w:rsidRPr="00052222">
              <w:t xml:space="preserve">year programs, </w:t>
            </w:r>
            <w:r>
              <w:t xml:space="preserve">which </w:t>
            </w:r>
            <w:r w:rsidR="00052222" w:rsidRPr="00052222">
              <w:t xml:space="preserve">follow traditional college experiences </w:t>
            </w:r>
            <w:r>
              <w:t>and</w:t>
            </w:r>
            <w:r w:rsidR="00052222" w:rsidRPr="00052222">
              <w:t xml:space="preserve"> provide curricular supports to enhance knowledge, skills, and preparation for competitive employment. </w:t>
            </w:r>
            <w:r w:rsidRPr="00052222">
              <w:t xml:space="preserve">Currently, only </w:t>
            </w:r>
            <w:r>
              <w:t>five percent</w:t>
            </w:r>
            <w:r w:rsidRPr="00052222">
              <w:t xml:space="preserve"> of</w:t>
            </w:r>
            <w:r w:rsidRPr="00052222">
              <w:t xml:space="preserve"> students with </w:t>
            </w:r>
            <w:r>
              <w:t>intellectual and development disabilities</w:t>
            </w:r>
            <w:r w:rsidRPr="00052222">
              <w:t xml:space="preserve"> are employed in competitive jobs in Texas</w:t>
            </w:r>
            <w:r>
              <w:t>,</w:t>
            </w:r>
            <w:r w:rsidRPr="00052222">
              <w:t xml:space="preserve"> </w:t>
            </w:r>
            <w:r w:rsidR="00D63DD1">
              <w:t xml:space="preserve">according to the Texas Workforce Investment Council, </w:t>
            </w:r>
            <w:r w:rsidR="00C01AA8">
              <w:t>and</w:t>
            </w:r>
            <w:r w:rsidRPr="00052222">
              <w:t xml:space="preserve"> </w:t>
            </w:r>
            <w:r w:rsidR="002323A5">
              <w:t xml:space="preserve">research published in the </w:t>
            </w:r>
            <w:r w:rsidR="002323A5" w:rsidRPr="00BE2F78">
              <w:rPr>
                <w:i/>
                <w:iCs/>
              </w:rPr>
              <w:t>Journal of Postsecondary Education and Disability</w:t>
            </w:r>
            <w:r w:rsidR="002323A5">
              <w:t xml:space="preserve"> </w:t>
            </w:r>
            <w:r w:rsidRPr="00052222">
              <w:t>shows that 72</w:t>
            </w:r>
            <w:r>
              <w:t xml:space="preserve"> percent o</w:t>
            </w:r>
            <w:r>
              <w:t>f graduates from comprehensive transition</w:t>
            </w:r>
            <w:r w:rsidRPr="00052222">
              <w:t xml:space="preserve"> program</w:t>
            </w:r>
            <w:r>
              <w:t>s</w:t>
            </w:r>
            <w:r w:rsidRPr="00052222">
              <w:t xml:space="preserve"> obtain a job within </w:t>
            </w:r>
            <w:r>
              <w:t>two</w:t>
            </w:r>
            <w:r w:rsidRPr="00052222">
              <w:t xml:space="preserve"> years of completing the program</w:t>
            </w:r>
            <w:r w:rsidR="00D63DD1">
              <w:t xml:space="preserve">. Additionally, 91 percent of graduates </w:t>
            </w:r>
            <w:r w:rsidR="00C01AA8">
              <w:t>of</w:t>
            </w:r>
            <w:r w:rsidR="00D63DD1">
              <w:t xml:space="preserve"> those programs report being satisfied with their social life.</w:t>
            </w:r>
          </w:p>
          <w:p w14:paraId="5D25F6C2" w14:textId="77777777" w:rsidR="00E1032B" w:rsidRDefault="00E1032B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091E213" w14:textId="77777777" w:rsidR="008423E4" w:rsidRDefault="00FA20AB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5146 seeks to </w:t>
            </w:r>
            <w:r w:rsidR="00DF2BE8">
              <w:t xml:space="preserve">expand opportunities for students with intellectual and developmental disabilities relating to postsecondary education, competitive employment, and independent living by </w:t>
            </w:r>
            <w:r w:rsidR="00E1032B">
              <w:t>provid</w:t>
            </w:r>
            <w:r w:rsidR="00DF2BE8">
              <w:t>ing</w:t>
            </w:r>
            <w:r w:rsidR="00E1032B">
              <w:t xml:space="preserve"> for the administration of</w:t>
            </w:r>
            <w:r>
              <w:t xml:space="preserve"> t</w:t>
            </w:r>
            <w:r w:rsidR="00052222" w:rsidRPr="00052222">
              <w:t xml:space="preserve">he </w:t>
            </w:r>
            <w:r>
              <w:t>b</w:t>
            </w:r>
            <w:r w:rsidR="00052222" w:rsidRPr="00052222">
              <w:t xml:space="preserve">uilding </w:t>
            </w:r>
            <w:r>
              <w:t>b</w:t>
            </w:r>
            <w:r w:rsidR="00052222" w:rsidRPr="00052222">
              <w:t xml:space="preserve">etter </w:t>
            </w:r>
            <w:r>
              <w:t>f</w:t>
            </w:r>
            <w:r w:rsidR="00052222" w:rsidRPr="00052222">
              <w:t xml:space="preserve">utures program </w:t>
            </w:r>
            <w:r>
              <w:t>to</w:t>
            </w:r>
            <w:r w:rsidRPr="00052222">
              <w:t xml:space="preserve"> </w:t>
            </w:r>
            <w:r w:rsidR="00052222" w:rsidRPr="00052222">
              <w:t xml:space="preserve">facilitate the delivery of educational and occupational skills training opportunities and support services to </w:t>
            </w:r>
            <w:r w:rsidR="007735F8">
              <w:t xml:space="preserve">these </w:t>
            </w:r>
            <w:r w:rsidR="00052222" w:rsidRPr="00052222">
              <w:t>students</w:t>
            </w:r>
            <w:r w:rsidR="00DF2BE8">
              <w:t>.</w:t>
            </w:r>
            <w:r w:rsidR="00052222" w:rsidRPr="00052222">
              <w:t xml:space="preserve"> </w:t>
            </w:r>
          </w:p>
          <w:p w14:paraId="6F607B46" w14:textId="1D5D54FB" w:rsidR="00E738C7" w:rsidRPr="00E26B13" w:rsidRDefault="00E738C7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14CC3" w14:paraId="7B439C4F" w14:textId="77777777" w:rsidTr="00345119">
        <w:tc>
          <w:tcPr>
            <w:tcW w:w="9576" w:type="dxa"/>
          </w:tcPr>
          <w:p w14:paraId="61D0D457" w14:textId="77777777" w:rsidR="0017725B" w:rsidRDefault="00FA20AB" w:rsidP="00E738C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36EE5B9" w14:textId="77777777" w:rsidR="0017725B" w:rsidRDefault="0017725B" w:rsidP="00E738C7">
            <w:pPr>
              <w:rPr>
                <w:b/>
                <w:u w:val="single"/>
              </w:rPr>
            </w:pPr>
          </w:p>
          <w:p w14:paraId="34AC6069" w14:textId="53FB66EC" w:rsidR="00DE3426" w:rsidRPr="00DE3426" w:rsidRDefault="00FA20AB" w:rsidP="00E738C7">
            <w:pPr>
              <w:jc w:val="both"/>
            </w:pPr>
            <w:r>
              <w:t xml:space="preserve">It is the committee's opinion </w:t>
            </w:r>
            <w:r>
              <w:t>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881EBE6" w14:textId="77777777" w:rsidR="0017725B" w:rsidRPr="0017725B" w:rsidRDefault="0017725B" w:rsidP="00E738C7">
            <w:pPr>
              <w:rPr>
                <w:b/>
                <w:u w:val="single"/>
              </w:rPr>
            </w:pPr>
          </w:p>
        </w:tc>
      </w:tr>
      <w:tr w:rsidR="00914CC3" w14:paraId="64076DE0" w14:textId="77777777" w:rsidTr="00345119">
        <w:tc>
          <w:tcPr>
            <w:tcW w:w="9576" w:type="dxa"/>
          </w:tcPr>
          <w:p w14:paraId="6BD08705" w14:textId="77777777" w:rsidR="008423E4" w:rsidRPr="00A8133F" w:rsidRDefault="00FA20AB" w:rsidP="00E738C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</w:t>
            </w:r>
            <w:r w:rsidRPr="009C1E9A">
              <w:rPr>
                <w:b/>
                <w:u w:val="single"/>
              </w:rPr>
              <w:t>UTHORITY</w:t>
            </w:r>
            <w:r>
              <w:rPr>
                <w:b/>
              </w:rPr>
              <w:t xml:space="preserve"> </w:t>
            </w:r>
          </w:p>
          <w:p w14:paraId="39D8C2A1" w14:textId="77777777" w:rsidR="008423E4" w:rsidRDefault="008423E4" w:rsidP="00E738C7"/>
          <w:p w14:paraId="660C70C4" w14:textId="70C887D0" w:rsidR="00DE3426" w:rsidRDefault="00FA20AB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DE3426">
              <w:t>Texas Higher Education Coordinating Board</w:t>
            </w:r>
            <w:r>
              <w:t xml:space="preserve"> in </w:t>
            </w:r>
            <w:r w:rsidRPr="00DE3426">
              <w:t xml:space="preserve">SECTION </w:t>
            </w:r>
            <w:r>
              <w:t>1 of this bill.</w:t>
            </w:r>
          </w:p>
          <w:p w14:paraId="21DE30EB" w14:textId="77777777" w:rsidR="008423E4" w:rsidRPr="00E21FDC" w:rsidRDefault="008423E4" w:rsidP="00E738C7">
            <w:pPr>
              <w:rPr>
                <w:b/>
              </w:rPr>
            </w:pPr>
          </w:p>
        </w:tc>
      </w:tr>
      <w:tr w:rsidR="00914CC3" w14:paraId="0CD6CE23" w14:textId="77777777" w:rsidTr="00345119">
        <w:tc>
          <w:tcPr>
            <w:tcW w:w="9576" w:type="dxa"/>
          </w:tcPr>
          <w:p w14:paraId="0C0F27A9" w14:textId="77777777" w:rsidR="008423E4" w:rsidRPr="00A8133F" w:rsidRDefault="00FA20AB" w:rsidP="00E738C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C71267B" w14:textId="77777777" w:rsidR="008423E4" w:rsidRDefault="008423E4" w:rsidP="00E738C7"/>
          <w:p w14:paraId="2D1A3021" w14:textId="4B71C44B" w:rsidR="00DE3426" w:rsidRDefault="00FA20AB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5146 amends the Education Code to require the </w:t>
            </w:r>
            <w:r w:rsidRPr="00DE3426">
              <w:t>Texas Higher Education Coordinating Board</w:t>
            </w:r>
            <w:r w:rsidR="009E37E4">
              <w:t xml:space="preserve"> </w:t>
            </w:r>
            <w:r w:rsidR="009E37E4" w:rsidRPr="009E37E4">
              <w:t>(THECB)</w:t>
            </w:r>
            <w:r w:rsidR="009E37E4">
              <w:t xml:space="preserve"> to </w:t>
            </w:r>
            <w:r w:rsidR="009E37E4" w:rsidRPr="009E37E4">
              <w:t xml:space="preserve">administer the </w:t>
            </w:r>
            <w:r w:rsidR="005316FB">
              <w:t>b</w:t>
            </w:r>
            <w:r w:rsidR="009E37E4" w:rsidRPr="009E37E4">
              <w:t xml:space="preserve">uilding </w:t>
            </w:r>
            <w:r w:rsidR="005316FB">
              <w:t>b</w:t>
            </w:r>
            <w:r w:rsidR="009E37E4" w:rsidRPr="009E37E4">
              <w:t xml:space="preserve">etter </w:t>
            </w:r>
            <w:r w:rsidR="005316FB">
              <w:t>f</w:t>
            </w:r>
            <w:r w:rsidR="009E37E4" w:rsidRPr="009E37E4">
              <w:t xml:space="preserve">utures </w:t>
            </w:r>
            <w:r w:rsidR="005316FB">
              <w:t>p</w:t>
            </w:r>
            <w:r w:rsidR="009E37E4" w:rsidRPr="009E37E4">
              <w:t xml:space="preserve">rogram </w:t>
            </w:r>
            <w:r w:rsidR="005316FB">
              <w:t>for</w:t>
            </w:r>
            <w:r w:rsidR="009E37E4">
              <w:t xml:space="preserve"> the </w:t>
            </w:r>
            <w:r w:rsidR="009E37E4" w:rsidRPr="009E37E4">
              <w:t>purpose of facilitat</w:t>
            </w:r>
            <w:r w:rsidR="005316FB">
              <w:t>ing</w:t>
            </w:r>
            <w:r w:rsidR="009E37E4" w:rsidRPr="009E37E4">
              <w:t xml:space="preserve"> the delivery by </w:t>
            </w:r>
            <w:r w:rsidR="00F7102A" w:rsidRPr="00F7102A">
              <w:t>public, private, and independent institutions of higher education</w:t>
            </w:r>
            <w:r w:rsidR="00F7102A">
              <w:t xml:space="preserve"> </w:t>
            </w:r>
            <w:r w:rsidR="009E37E4" w:rsidRPr="009E37E4">
              <w:t>of educational and occupational skills training opportunities and support services to students with intellectual and developmental disabilities in an inclusive and age-appropriate environment.</w:t>
            </w:r>
            <w:r w:rsidR="005316FB">
              <w:t xml:space="preserve"> </w:t>
            </w:r>
          </w:p>
          <w:p w14:paraId="676980CF" w14:textId="557F839A" w:rsidR="009E37E4" w:rsidRDefault="009E37E4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9E94E61" w14:textId="53F5385F" w:rsidR="00F35D39" w:rsidRDefault="00FA20AB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E37E4">
              <w:t>H.B. 5146</w:t>
            </w:r>
            <w:r>
              <w:t xml:space="preserve"> </w:t>
            </w:r>
            <w:r w:rsidR="005316FB">
              <w:t>requires the THECB to</w:t>
            </w:r>
            <w:r w:rsidR="005316FB" w:rsidRPr="009E37E4">
              <w:t xml:space="preserve"> adopt any rules necessary to implement the program</w:t>
            </w:r>
            <w:r w:rsidR="005316FB">
              <w:t xml:space="preserve"> as soon as practicable after the bill's effective date and </w:t>
            </w:r>
            <w:r>
              <w:t xml:space="preserve">authorizes the THECB to </w:t>
            </w:r>
            <w:r w:rsidRPr="009E37E4">
              <w:t xml:space="preserve">develop a competitive application process for the award of funds to eligible </w:t>
            </w:r>
            <w:r w:rsidR="004A4449" w:rsidRPr="004A4449">
              <w:t xml:space="preserve">institutions </w:t>
            </w:r>
            <w:r w:rsidRPr="009E37E4">
              <w:t>under the program.</w:t>
            </w:r>
            <w:r>
              <w:t xml:space="preserve"> The bill exempts a progra</w:t>
            </w:r>
            <w:r>
              <w:t xml:space="preserve">m or course offered under the </w:t>
            </w:r>
            <w:r w:rsidR="00803B3A">
              <w:t>p</w:t>
            </w:r>
            <w:r w:rsidRPr="00F35D39">
              <w:t>rogram</w:t>
            </w:r>
            <w:r>
              <w:t xml:space="preserve"> from requirements </w:t>
            </w:r>
            <w:r w:rsidR="005316FB">
              <w:t>relating to</w:t>
            </w:r>
            <w:r>
              <w:t xml:space="preserve"> </w:t>
            </w:r>
            <w:r w:rsidR="005316FB">
              <w:t>THECB</w:t>
            </w:r>
            <w:r>
              <w:t xml:space="preserve"> approval</w:t>
            </w:r>
            <w:r w:rsidR="005316FB">
              <w:t xml:space="preserve"> of academic programs</w:t>
            </w:r>
            <w:r>
              <w:t xml:space="preserve">, </w:t>
            </w:r>
            <w:r w:rsidR="005316FB">
              <w:t xml:space="preserve">the </w:t>
            </w:r>
            <w:r>
              <w:t>transfer of credits</w:t>
            </w:r>
            <w:r w:rsidR="005316FB">
              <w:t>, and</w:t>
            </w:r>
            <w:r>
              <w:t xml:space="preserve"> a </w:t>
            </w:r>
            <w:r w:rsidR="005316FB">
              <w:t>THECB-</w:t>
            </w:r>
            <w:r>
              <w:t>recommended core curriculum.</w:t>
            </w:r>
          </w:p>
          <w:p w14:paraId="221390EA" w14:textId="77777777" w:rsidR="00F35D39" w:rsidRDefault="00F35D39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E6C5D4B" w14:textId="0180794B" w:rsidR="00F35D39" w:rsidRDefault="00FA20AB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5146 requires an </w:t>
            </w:r>
            <w:r w:rsidRPr="00F35D39">
              <w:t>institution</w:t>
            </w:r>
            <w:r w:rsidR="00E1032B">
              <w:t xml:space="preserve"> to meet the following criteria</w:t>
            </w:r>
            <w:r w:rsidRPr="00F35D39">
              <w:t xml:space="preserve"> </w:t>
            </w:r>
            <w:r>
              <w:t>to be eligible to p</w:t>
            </w:r>
            <w:r>
              <w:t xml:space="preserve">articipate </w:t>
            </w:r>
            <w:r w:rsidRPr="00F35D39">
              <w:t xml:space="preserve">in the </w:t>
            </w:r>
            <w:r w:rsidR="00803B3A">
              <w:t>p</w:t>
            </w:r>
            <w:r w:rsidRPr="00F35D39">
              <w:t>rogram:</w:t>
            </w:r>
          </w:p>
          <w:p w14:paraId="7D181C3D" w14:textId="55290DE7" w:rsidR="00F35D39" w:rsidRDefault="00FA20AB" w:rsidP="00E738C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35D39">
              <w:t>be approved by or awaiting approval from the U</w:t>
            </w:r>
            <w:r w:rsidR="004A4449">
              <w:t>.</w:t>
            </w:r>
            <w:r w:rsidRPr="00F35D39">
              <w:t>S</w:t>
            </w:r>
            <w:r w:rsidR="004A4449">
              <w:t xml:space="preserve">. </w:t>
            </w:r>
            <w:r w:rsidRPr="00F35D39">
              <w:t>Department of Education to offer a comprehensive transition and postsecondary program for students with intellectual or developmental disabilities;</w:t>
            </w:r>
          </w:p>
          <w:p w14:paraId="22FB3E43" w14:textId="200A4F6A" w:rsidR="00F35D39" w:rsidRDefault="00FA20AB" w:rsidP="00E738C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35D39">
              <w:t>develop and implement a selecti</w:t>
            </w:r>
            <w:r w:rsidRPr="00F35D39">
              <w:t xml:space="preserve">ve admissions process to select eligible students for admission to the </w:t>
            </w:r>
            <w:r w:rsidR="004A4449" w:rsidRPr="004A4449">
              <w:t>institution</w:t>
            </w:r>
            <w:r w:rsidRPr="00F35D39">
              <w:t xml:space="preserve">'s comprehensive transition and postsecondary program; </w:t>
            </w:r>
          </w:p>
          <w:p w14:paraId="755F1FEE" w14:textId="623A749B" w:rsidR="00F35D39" w:rsidRDefault="00FA20AB" w:rsidP="00E738C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F35D39">
              <w:t xml:space="preserve">award a certificate to each student who successfully completes the </w:t>
            </w:r>
            <w:r w:rsidR="00803B3A">
              <w:t>p</w:t>
            </w:r>
            <w:r w:rsidRPr="00F35D39">
              <w:t>rogram at the institution; and</w:t>
            </w:r>
          </w:p>
          <w:p w14:paraId="1050668A" w14:textId="3D9B31A9" w:rsidR="00F35D39" w:rsidRDefault="00FA20AB" w:rsidP="00E738C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A4449">
              <w:t>may not allow credi</w:t>
            </w:r>
            <w:r w:rsidRPr="004A4449">
              <w:t xml:space="preserve">t hours completed under the </w:t>
            </w:r>
            <w:r w:rsidR="00803B3A">
              <w:t>p</w:t>
            </w:r>
            <w:r w:rsidRPr="004A4449">
              <w:t>rogram to be transferred toward an associate or baccalaureate degree program.</w:t>
            </w:r>
          </w:p>
          <w:p w14:paraId="0C1B7159" w14:textId="77985704" w:rsidR="00F35D39" w:rsidRDefault="00FA20AB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the THECB to establish </w:t>
            </w:r>
            <w:r w:rsidRPr="00F7102A">
              <w:t xml:space="preserve">criteria to ensure that each eligible institution that has requested but not yet received approval from the </w:t>
            </w:r>
            <w:r>
              <w:t xml:space="preserve">U.S. </w:t>
            </w:r>
            <w:r w:rsidRPr="00F7102A">
              <w:t>Department of Education for the institution's comprehensive transition and postsecondary program obtains that approval not later than the third</w:t>
            </w:r>
            <w:r w:rsidRPr="00F7102A">
              <w:t xml:space="preserve"> anniversary of the date the institution is initially selected by the </w:t>
            </w:r>
            <w:r>
              <w:t>THECB</w:t>
            </w:r>
            <w:r w:rsidRPr="00F7102A">
              <w:t xml:space="preserve"> for participation in the </w:t>
            </w:r>
            <w:r w:rsidR="00803B3A">
              <w:t>p</w:t>
            </w:r>
            <w:r w:rsidRPr="00F7102A">
              <w:t>rogram.</w:t>
            </w:r>
          </w:p>
          <w:p w14:paraId="17E89532" w14:textId="0A875534" w:rsidR="009E37E4" w:rsidRDefault="00FA20AB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  <w:p w14:paraId="04DC71BA" w14:textId="68C195D8" w:rsidR="00F7102A" w:rsidRDefault="00FA20AB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5146 requires </w:t>
            </w:r>
            <w:r w:rsidR="00E1032B">
              <w:t xml:space="preserve">a student applicant to meet the following criteria </w:t>
            </w:r>
            <w:r>
              <w:t>to be eligible to participate in the</w:t>
            </w:r>
            <w:r w:rsidRPr="00F7102A">
              <w:t xml:space="preserve"> </w:t>
            </w:r>
            <w:r w:rsidR="00803B3A">
              <w:t>p</w:t>
            </w:r>
            <w:r w:rsidRPr="00F7102A">
              <w:t>rogram:</w:t>
            </w:r>
          </w:p>
          <w:p w14:paraId="39E61E7E" w14:textId="762CD79F" w:rsidR="00F7102A" w:rsidRDefault="00FA20AB" w:rsidP="00E738C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DB5619">
              <w:t>apply for admission to a com</w:t>
            </w:r>
            <w:r w:rsidRPr="00DB5619">
              <w:t xml:space="preserve">prehensive transition and postsecondary program, or a program that is awaiting approval from the </w:t>
            </w:r>
            <w:r w:rsidR="004910EE">
              <w:t xml:space="preserve">U.S. </w:t>
            </w:r>
            <w:r w:rsidRPr="00DB5619">
              <w:t xml:space="preserve">Department of Education as </w:t>
            </w:r>
            <w:r w:rsidR="0040554B">
              <w:t xml:space="preserve">such </w:t>
            </w:r>
            <w:r w:rsidRPr="00DB5619">
              <w:t>a program, at an eligible institution;</w:t>
            </w:r>
          </w:p>
          <w:p w14:paraId="493062F3" w14:textId="3158DF88" w:rsidR="00DB5619" w:rsidRDefault="00FA20AB" w:rsidP="00E738C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DB5619">
              <w:t xml:space="preserve">be a citizen or a lawful permanent </w:t>
            </w:r>
            <w:r w:rsidR="00284AB3">
              <w:t xml:space="preserve">U.S. </w:t>
            </w:r>
            <w:r w:rsidRPr="00DB5619">
              <w:t>resident;</w:t>
            </w:r>
          </w:p>
          <w:p w14:paraId="779BDBC7" w14:textId="433BEC65" w:rsidR="004910EE" w:rsidRDefault="00FA20AB" w:rsidP="00E738C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4910EE">
              <w:t xml:space="preserve">be a </w:t>
            </w:r>
            <w:r w:rsidR="00284AB3">
              <w:t xml:space="preserve">Texas </w:t>
            </w:r>
            <w:r w:rsidRPr="004910EE">
              <w:t xml:space="preserve">resident, except </w:t>
            </w:r>
            <w:r w:rsidR="00E259AF">
              <w:t xml:space="preserve">that a </w:t>
            </w:r>
            <w:r w:rsidR="0040554B">
              <w:t xml:space="preserve">nonresident </w:t>
            </w:r>
            <w:r w:rsidR="00E259AF">
              <w:t>applica</w:t>
            </w:r>
            <w:r w:rsidR="0040554B">
              <w:t>nt</w:t>
            </w:r>
            <w:r w:rsidR="00E259AF">
              <w:t xml:space="preserve"> may be eligible </w:t>
            </w:r>
            <w:r w:rsidR="00A96A06" w:rsidRPr="00A96A06">
              <w:t>only if an opening is available after all resident applicants are admitted</w:t>
            </w:r>
            <w:r w:rsidRPr="004910EE">
              <w:t>;</w:t>
            </w:r>
          </w:p>
          <w:p w14:paraId="0D6E604B" w14:textId="76F19AA9" w:rsidR="00DB5619" w:rsidRDefault="00FA20AB" w:rsidP="00E738C7">
            <w:pPr>
              <w:pStyle w:val="Header"/>
              <w:numPr>
                <w:ilvl w:val="0"/>
                <w:numId w:val="2"/>
              </w:numPr>
              <w:jc w:val="both"/>
            </w:pPr>
            <w:r>
              <w:t>have an intellectual or developmental disability diagnosed by a</w:t>
            </w:r>
            <w:r w:rsidR="00E259AF">
              <w:t>n</w:t>
            </w:r>
            <w:r>
              <w:t xml:space="preserve"> individual qualified by license or statute to make such a diagnosis;</w:t>
            </w:r>
          </w:p>
          <w:p w14:paraId="280FC5E0" w14:textId="5CCEFAE3" w:rsidR="00DB5619" w:rsidRDefault="00FA20AB" w:rsidP="00E738C7">
            <w:pPr>
              <w:pStyle w:val="Header"/>
              <w:numPr>
                <w:ilvl w:val="0"/>
                <w:numId w:val="2"/>
              </w:numPr>
              <w:jc w:val="both"/>
            </w:pPr>
            <w:r>
              <w:t>be able and willing to learn and participate in an inclusive classroom and work setting; and</w:t>
            </w:r>
          </w:p>
          <w:p w14:paraId="15E8945C" w14:textId="0B7BB973" w:rsidR="00DB5619" w:rsidRDefault="00FA20AB" w:rsidP="00E738C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not be a danger to the applicant's self or others, as determined by the accepting institution</w:t>
            </w:r>
            <w:r>
              <w:t>.</w:t>
            </w:r>
          </w:p>
          <w:p w14:paraId="7545630D" w14:textId="5BF59E1F" w:rsidR="00A96A06" w:rsidRDefault="00FA20AB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191A32">
              <w:t xml:space="preserve"> </w:t>
            </w:r>
            <w:r w:rsidR="00284AB3">
              <w:t>requires</w:t>
            </w:r>
            <w:r>
              <w:t xml:space="preserve"> an applicant's submission</w:t>
            </w:r>
            <w:r w:rsidRPr="00A96A06">
              <w:t xml:space="preserve"> </w:t>
            </w:r>
            <w:r w:rsidR="0040554B">
              <w:t>of</w:t>
            </w:r>
            <w:r w:rsidRPr="00A96A06">
              <w:t xml:space="preserve"> a copy of the applicant's lawful permanent resident form</w:t>
            </w:r>
            <w:r>
              <w:t xml:space="preserve">, if applicable, and authorizes an eligible institution to require </w:t>
            </w:r>
            <w:r w:rsidRPr="00A96A06">
              <w:t xml:space="preserve">an applicant or the applicant's parent or guardian to provide proof of residency as </w:t>
            </w:r>
            <w:r w:rsidRPr="00A96A06">
              <w:t xml:space="preserve">evidenced by one of the </w:t>
            </w:r>
            <w:r>
              <w:t xml:space="preserve">documents specified by the bill. </w:t>
            </w:r>
          </w:p>
          <w:p w14:paraId="7667A354" w14:textId="57553D24" w:rsidR="00A96A06" w:rsidRDefault="00A96A06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C177002" w14:textId="09EA1685" w:rsidR="00803B3A" w:rsidRDefault="00FA20AB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5146 authorizes the THECB to award funds under the program</w:t>
            </w:r>
            <w:r w:rsidR="006170F9">
              <w:t xml:space="preserve"> </w:t>
            </w:r>
            <w:r w:rsidR="006170F9" w:rsidRPr="006170F9">
              <w:t>only to eligible institutions to be used by th</w:t>
            </w:r>
            <w:r w:rsidR="006170F9">
              <w:t>os</w:t>
            </w:r>
            <w:r w:rsidR="006170F9" w:rsidRPr="006170F9">
              <w:t xml:space="preserve">e institutions </w:t>
            </w:r>
            <w:r w:rsidR="00E768D3">
              <w:t>for</w:t>
            </w:r>
            <w:r w:rsidR="006170F9" w:rsidRPr="006170F9">
              <w:t xml:space="preserve"> the program</w:t>
            </w:r>
            <w:r w:rsidR="00E768D3">
              <w:t>'s established purpose</w:t>
            </w:r>
            <w:r w:rsidR="00284AB3">
              <w:t xml:space="preserve"> and</w:t>
            </w:r>
            <w:r w:rsidR="006170F9">
              <w:t xml:space="preserve"> authorizes the THECB to use any </w:t>
            </w:r>
            <w:r w:rsidR="006170F9" w:rsidRPr="006170F9">
              <w:t xml:space="preserve">available revenue, including legislative appropriations, and </w:t>
            </w:r>
            <w:r w:rsidR="000D4A8C">
              <w:t>to</w:t>
            </w:r>
            <w:r w:rsidR="000D4A8C" w:rsidRPr="006170F9">
              <w:t xml:space="preserve"> </w:t>
            </w:r>
            <w:r w:rsidR="006170F9" w:rsidRPr="006170F9">
              <w:t>solicit and accept gifts, grants, and donations from a public or private source for the purposes of th</w:t>
            </w:r>
            <w:r w:rsidR="000D4A8C">
              <w:t>e</w:t>
            </w:r>
            <w:r w:rsidR="006170F9" w:rsidRPr="006170F9">
              <w:t xml:space="preserve"> </w:t>
            </w:r>
            <w:r w:rsidR="00191A32">
              <w:t>program</w:t>
            </w:r>
            <w:r w:rsidR="006170F9" w:rsidRPr="006170F9">
              <w:t>.</w:t>
            </w:r>
          </w:p>
          <w:p w14:paraId="73187895" w14:textId="77777777" w:rsidR="008423E4" w:rsidRPr="00835628" w:rsidRDefault="008423E4" w:rsidP="00E738C7">
            <w:pPr>
              <w:rPr>
                <w:b/>
              </w:rPr>
            </w:pPr>
          </w:p>
        </w:tc>
      </w:tr>
      <w:tr w:rsidR="00914CC3" w14:paraId="53B0B845" w14:textId="77777777" w:rsidTr="00345119">
        <w:tc>
          <w:tcPr>
            <w:tcW w:w="9576" w:type="dxa"/>
          </w:tcPr>
          <w:p w14:paraId="27AEDEAC" w14:textId="77777777" w:rsidR="008423E4" w:rsidRPr="00A8133F" w:rsidRDefault="00FA20AB" w:rsidP="00E738C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AA12AAC" w14:textId="77777777" w:rsidR="008423E4" w:rsidRDefault="008423E4" w:rsidP="00E738C7"/>
          <w:p w14:paraId="13EEFF8C" w14:textId="7B627E00" w:rsidR="008423E4" w:rsidRPr="003624F2" w:rsidRDefault="00FA20AB" w:rsidP="00E738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</w:t>
            </w:r>
            <w:r>
              <w:t xml:space="preserve"> does not receive the necessary vote, September 1, 2023.</w:t>
            </w:r>
          </w:p>
          <w:p w14:paraId="52CE6976" w14:textId="77777777" w:rsidR="008423E4" w:rsidRPr="00233FDB" w:rsidRDefault="008423E4" w:rsidP="00E738C7">
            <w:pPr>
              <w:rPr>
                <w:b/>
              </w:rPr>
            </w:pPr>
          </w:p>
        </w:tc>
      </w:tr>
    </w:tbl>
    <w:p w14:paraId="3D9A1831" w14:textId="77777777" w:rsidR="008423E4" w:rsidRPr="00BE0E75" w:rsidRDefault="008423E4" w:rsidP="00E738C7">
      <w:pPr>
        <w:jc w:val="both"/>
        <w:rPr>
          <w:rFonts w:ascii="Arial" w:hAnsi="Arial"/>
          <w:sz w:val="16"/>
          <w:szCs w:val="16"/>
        </w:rPr>
      </w:pPr>
    </w:p>
    <w:p w14:paraId="5B9EE392" w14:textId="77777777" w:rsidR="004108C3" w:rsidRPr="008423E4" w:rsidRDefault="004108C3" w:rsidP="00E738C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E697" w14:textId="77777777" w:rsidR="00000000" w:rsidRDefault="00FA20AB">
      <w:r>
        <w:separator/>
      </w:r>
    </w:p>
  </w:endnote>
  <w:endnote w:type="continuationSeparator" w:id="0">
    <w:p w14:paraId="2B0C1B19" w14:textId="77777777" w:rsidR="00000000" w:rsidRDefault="00FA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891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14CC3" w14:paraId="070484AD" w14:textId="77777777" w:rsidTr="009C1E9A">
      <w:trPr>
        <w:cantSplit/>
      </w:trPr>
      <w:tc>
        <w:tcPr>
          <w:tcW w:w="0" w:type="pct"/>
        </w:tcPr>
        <w:p w14:paraId="6F4F75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614C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AD8F0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545F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DD9C9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14CC3" w14:paraId="5067AD04" w14:textId="77777777" w:rsidTr="009C1E9A">
      <w:trPr>
        <w:cantSplit/>
      </w:trPr>
      <w:tc>
        <w:tcPr>
          <w:tcW w:w="0" w:type="pct"/>
        </w:tcPr>
        <w:p w14:paraId="536283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6E6205" w14:textId="107B5512" w:rsidR="00EC379B" w:rsidRPr="009C1E9A" w:rsidRDefault="00FA20A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25444-D</w:t>
          </w:r>
        </w:p>
      </w:tc>
      <w:tc>
        <w:tcPr>
          <w:tcW w:w="2453" w:type="pct"/>
        </w:tcPr>
        <w:p w14:paraId="76B31CE0" w14:textId="480982B8" w:rsidR="00EC379B" w:rsidRDefault="00FA20A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738C7">
            <w:t>23.113.527</w:t>
          </w:r>
          <w:r>
            <w:fldChar w:fldCharType="end"/>
          </w:r>
        </w:p>
      </w:tc>
    </w:tr>
    <w:tr w:rsidR="00914CC3" w14:paraId="7831136F" w14:textId="77777777" w:rsidTr="009C1E9A">
      <w:trPr>
        <w:cantSplit/>
      </w:trPr>
      <w:tc>
        <w:tcPr>
          <w:tcW w:w="0" w:type="pct"/>
        </w:tcPr>
        <w:p w14:paraId="3465652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0E6FFF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8F7267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C8B546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14CC3" w14:paraId="69A496C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DC36F61" w14:textId="77777777" w:rsidR="00EC379B" w:rsidRDefault="00FA20A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949F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A38E04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E0A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69EE" w14:textId="77777777" w:rsidR="00000000" w:rsidRDefault="00FA20AB">
      <w:r>
        <w:separator/>
      </w:r>
    </w:p>
  </w:footnote>
  <w:footnote w:type="continuationSeparator" w:id="0">
    <w:p w14:paraId="2C567131" w14:textId="77777777" w:rsidR="00000000" w:rsidRDefault="00FA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C7D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1DA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E36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C5312"/>
    <w:multiLevelType w:val="hybridMultilevel"/>
    <w:tmpl w:val="1AFEE9D6"/>
    <w:lvl w:ilvl="0" w:tplc="EC622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29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4A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C9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2A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29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62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AF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A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659AE"/>
    <w:multiLevelType w:val="hybridMultilevel"/>
    <w:tmpl w:val="7FF2E2D8"/>
    <w:lvl w:ilvl="0" w:tplc="C23C2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9A7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01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68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ED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EB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4A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24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49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C49A9"/>
    <w:multiLevelType w:val="hybridMultilevel"/>
    <w:tmpl w:val="359ADD6A"/>
    <w:lvl w:ilvl="0" w:tplc="E480C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22C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82B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20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E3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61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A6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E5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8A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2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222"/>
    <w:rsid w:val="000532BD"/>
    <w:rsid w:val="00053CE6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9C5"/>
    <w:rsid w:val="000C6DC1"/>
    <w:rsid w:val="000C6E20"/>
    <w:rsid w:val="000C76D7"/>
    <w:rsid w:val="000C7F1D"/>
    <w:rsid w:val="000D2EBA"/>
    <w:rsid w:val="000D32A1"/>
    <w:rsid w:val="000D3725"/>
    <w:rsid w:val="000D46E5"/>
    <w:rsid w:val="000D4A8C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0DD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A32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3A5"/>
    <w:rsid w:val="0023341D"/>
    <w:rsid w:val="002338DA"/>
    <w:rsid w:val="00233D66"/>
    <w:rsid w:val="00233FDB"/>
    <w:rsid w:val="00234B38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AB3"/>
    <w:rsid w:val="002874E3"/>
    <w:rsid w:val="00287656"/>
    <w:rsid w:val="00291518"/>
    <w:rsid w:val="00294AF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54B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6C1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10EE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449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939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6FB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1B1B"/>
    <w:rsid w:val="00573401"/>
    <w:rsid w:val="00576714"/>
    <w:rsid w:val="0057685A"/>
    <w:rsid w:val="005830AF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489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0F9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E7C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F89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35F8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37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BDA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B3A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CC3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922"/>
    <w:rsid w:val="009D5A41"/>
    <w:rsid w:val="009E13BF"/>
    <w:rsid w:val="009E3631"/>
    <w:rsid w:val="009E37E4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A06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042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F78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AA8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09C"/>
    <w:rsid w:val="00CC24B7"/>
    <w:rsid w:val="00CC7131"/>
    <w:rsid w:val="00CC7B9E"/>
    <w:rsid w:val="00CD0150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3DD1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619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57B"/>
    <w:rsid w:val="00DD073C"/>
    <w:rsid w:val="00DD128C"/>
    <w:rsid w:val="00DD1B8F"/>
    <w:rsid w:val="00DD5BCC"/>
    <w:rsid w:val="00DD7509"/>
    <w:rsid w:val="00DD79C7"/>
    <w:rsid w:val="00DD7D6E"/>
    <w:rsid w:val="00DE3426"/>
    <w:rsid w:val="00DE34B2"/>
    <w:rsid w:val="00DE49DE"/>
    <w:rsid w:val="00DE618B"/>
    <w:rsid w:val="00DE6EC2"/>
    <w:rsid w:val="00DF0834"/>
    <w:rsid w:val="00DF0873"/>
    <w:rsid w:val="00DF2707"/>
    <w:rsid w:val="00DF2BE8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3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9AF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8C7"/>
    <w:rsid w:val="00E73CCD"/>
    <w:rsid w:val="00E76453"/>
    <w:rsid w:val="00E768D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17C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D39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02A"/>
    <w:rsid w:val="00F71C5A"/>
    <w:rsid w:val="00F733A4"/>
    <w:rsid w:val="00F7758F"/>
    <w:rsid w:val="00F82811"/>
    <w:rsid w:val="00F84153"/>
    <w:rsid w:val="00F85661"/>
    <w:rsid w:val="00F96602"/>
    <w:rsid w:val="00F9735A"/>
    <w:rsid w:val="00FA20AB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BF699A-5FB0-42B4-B7C8-80F5938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E37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3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37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3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37E4"/>
    <w:rPr>
      <w:b/>
      <w:bCs/>
    </w:rPr>
  </w:style>
  <w:style w:type="paragraph" w:styleId="Revision">
    <w:name w:val="Revision"/>
    <w:hidden/>
    <w:uiPriority w:val="99"/>
    <w:semiHidden/>
    <w:rsid w:val="005E7489"/>
    <w:rPr>
      <w:sz w:val="24"/>
      <w:szCs w:val="24"/>
    </w:rPr>
  </w:style>
  <w:style w:type="character" w:styleId="Hyperlink">
    <w:name w:val="Hyperlink"/>
    <w:basedOn w:val="DefaultParagraphFont"/>
    <w:unhideWhenUsed/>
    <w:rsid w:val="00DF2B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4885</Characters>
  <Application>Microsoft Office Word</Application>
  <DocSecurity>4</DocSecurity>
  <Lines>104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HB05146 (Committee Report (Unamended))</vt:lpstr>
    </vt:vector>
  </TitlesOfParts>
  <Company>State of Texas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25444</dc:subject>
  <dc:creator>State of Texas</dc:creator>
  <dc:description>HB 5146 by Raney-(H)Higher Education</dc:description>
  <cp:lastModifiedBy>Alan Gonzalez Otero</cp:lastModifiedBy>
  <cp:revision>2</cp:revision>
  <cp:lastPrinted>2003-11-26T17:21:00Z</cp:lastPrinted>
  <dcterms:created xsi:type="dcterms:W3CDTF">2023-04-26T16:42:00Z</dcterms:created>
  <dcterms:modified xsi:type="dcterms:W3CDTF">2023-04-26T16:42:00Z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23.113.527</vt:lpwstr>
  </property>
</Properties>
</file>