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F5301" w14:paraId="2366F695" w14:textId="77777777" w:rsidTr="00345119">
        <w:tc>
          <w:tcPr>
            <w:tcW w:w="9576" w:type="dxa"/>
            <w:noWrap/>
          </w:tcPr>
          <w:p w14:paraId="18377A99" w14:textId="77777777" w:rsidR="008423E4" w:rsidRPr="0022177D" w:rsidRDefault="00646FB6" w:rsidP="00266F9A">
            <w:pPr>
              <w:pStyle w:val="Heading1"/>
            </w:pPr>
            <w:r w:rsidRPr="00631897">
              <w:t>BILL ANALYSIS</w:t>
            </w:r>
          </w:p>
        </w:tc>
      </w:tr>
    </w:tbl>
    <w:p w14:paraId="400E720B" w14:textId="77777777" w:rsidR="008423E4" w:rsidRPr="0022177D" w:rsidRDefault="008423E4" w:rsidP="00266F9A">
      <w:pPr>
        <w:jc w:val="center"/>
      </w:pPr>
    </w:p>
    <w:p w14:paraId="0539E784" w14:textId="77777777" w:rsidR="008423E4" w:rsidRPr="00B31F0E" w:rsidRDefault="008423E4" w:rsidP="00266F9A"/>
    <w:p w14:paraId="19736C6D" w14:textId="77777777" w:rsidR="008423E4" w:rsidRPr="00742794" w:rsidRDefault="008423E4" w:rsidP="00266F9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F5301" w14:paraId="0C22467F" w14:textId="77777777" w:rsidTr="00345119">
        <w:tc>
          <w:tcPr>
            <w:tcW w:w="9576" w:type="dxa"/>
          </w:tcPr>
          <w:p w14:paraId="7C135149" w14:textId="727B0E54" w:rsidR="008423E4" w:rsidRPr="00861995" w:rsidRDefault="00646FB6" w:rsidP="00266F9A">
            <w:pPr>
              <w:jc w:val="right"/>
            </w:pPr>
            <w:r>
              <w:t>C.S.H.B. 5177</w:t>
            </w:r>
          </w:p>
        </w:tc>
      </w:tr>
      <w:tr w:rsidR="006F5301" w14:paraId="3CC75DE5" w14:textId="77777777" w:rsidTr="00345119">
        <w:tc>
          <w:tcPr>
            <w:tcW w:w="9576" w:type="dxa"/>
          </w:tcPr>
          <w:p w14:paraId="19F73C0C" w14:textId="427A169C" w:rsidR="008423E4" w:rsidRPr="00861995" w:rsidRDefault="00646FB6" w:rsidP="00266F9A">
            <w:pPr>
              <w:jc w:val="right"/>
            </w:pPr>
            <w:r>
              <w:t xml:space="preserve">By: </w:t>
            </w:r>
            <w:r w:rsidR="00166D6E">
              <w:t>Lopez, Ray</w:t>
            </w:r>
          </w:p>
        </w:tc>
      </w:tr>
      <w:tr w:rsidR="006F5301" w14:paraId="443FC58C" w14:textId="77777777" w:rsidTr="00345119">
        <w:tc>
          <w:tcPr>
            <w:tcW w:w="9576" w:type="dxa"/>
          </w:tcPr>
          <w:p w14:paraId="4769E33F" w14:textId="370EE827" w:rsidR="008423E4" w:rsidRPr="00861995" w:rsidRDefault="00646FB6" w:rsidP="00266F9A">
            <w:pPr>
              <w:jc w:val="right"/>
            </w:pPr>
            <w:r>
              <w:t>Corrections</w:t>
            </w:r>
          </w:p>
        </w:tc>
      </w:tr>
      <w:tr w:rsidR="006F5301" w14:paraId="21B71257" w14:textId="77777777" w:rsidTr="00345119">
        <w:tc>
          <w:tcPr>
            <w:tcW w:w="9576" w:type="dxa"/>
          </w:tcPr>
          <w:p w14:paraId="5D8A67A5" w14:textId="4FDB9D77" w:rsidR="008423E4" w:rsidRDefault="00646FB6" w:rsidP="00266F9A">
            <w:pPr>
              <w:jc w:val="right"/>
            </w:pPr>
            <w:r>
              <w:t>Committee Report (Substituted)</w:t>
            </w:r>
          </w:p>
        </w:tc>
      </w:tr>
    </w:tbl>
    <w:p w14:paraId="07474E94" w14:textId="77777777" w:rsidR="008423E4" w:rsidRDefault="008423E4" w:rsidP="00266F9A">
      <w:pPr>
        <w:tabs>
          <w:tab w:val="right" w:pos="9360"/>
        </w:tabs>
      </w:pPr>
    </w:p>
    <w:p w14:paraId="559E355E" w14:textId="77777777" w:rsidR="008423E4" w:rsidRDefault="008423E4" w:rsidP="00266F9A"/>
    <w:p w14:paraId="31723A6E" w14:textId="77777777" w:rsidR="008423E4" w:rsidRDefault="008423E4" w:rsidP="00266F9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F5301" w14:paraId="2B580971" w14:textId="77777777" w:rsidTr="002677FF">
        <w:tc>
          <w:tcPr>
            <w:tcW w:w="9360" w:type="dxa"/>
          </w:tcPr>
          <w:p w14:paraId="06385B4A" w14:textId="77777777" w:rsidR="008423E4" w:rsidRPr="00A8133F" w:rsidRDefault="00646FB6" w:rsidP="00266F9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B12EABE" w14:textId="77777777" w:rsidR="008423E4" w:rsidRDefault="008423E4" w:rsidP="00266F9A"/>
          <w:p w14:paraId="5C17552A" w14:textId="07868492" w:rsidR="00E01FBD" w:rsidRDefault="00646FB6" w:rsidP="00266F9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t>Participants in the Bexar County Veterans Treatment Court (VTC</w:t>
            </w:r>
            <w:r>
              <w:t xml:space="preserve">) have applied and been accepted to </w:t>
            </w:r>
            <w:r w:rsidR="0059205D">
              <w:t xml:space="preserve">the </w:t>
            </w:r>
            <w:r>
              <w:t>specialty court program that focus</w:t>
            </w:r>
            <w:r w:rsidR="0092635E">
              <w:t>es</w:t>
            </w:r>
            <w:r>
              <w:t xml:space="preserve"> on the root</w:t>
            </w:r>
            <w:r w:rsidR="005A6A76">
              <w:t xml:space="preserve"> </w:t>
            </w:r>
            <w:r>
              <w:t>causes—often military service</w:t>
            </w:r>
            <w:r w:rsidR="0059205D">
              <w:t>-</w:t>
            </w:r>
            <w:r>
              <w:t xml:space="preserve">related trauma—that cause veterans to become </w:t>
            </w:r>
            <w:r w:rsidR="00E97A60">
              <w:t xml:space="preserve">involved in the criminal </w:t>
            </w:r>
            <w:r>
              <w:t xml:space="preserve">justice system. </w:t>
            </w:r>
            <w:r w:rsidR="004A6847">
              <w:t xml:space="preserve">Generally, a </w:t>
            </w:r>
            <w:r>
              <w:t>VTC focuses on rehabilitation and acco</w:t>
            </w:r>
            <w:r>
              <w:t>untability</w:t>
            </w:r>
            <w:r w:rsidR="004A6847">
              <w:t xml:space="preserve"> and</w:t>
            </w:r>
            <w:r>
              <w:t xml:space="preserve"> </w:t>
            </w:r>
            <w:r w:rsidR="004A6847">
              <w:t>i</w:t>
            </w:r>
            <w:r>
              <w:t xml:space="preserve">n Bexar County, the VTC provides life skills, drug and alcohol intervention, drug and alcohol management with relapse intervention, DWI intervention, cognitive behavior therapy, dialectical behavior therapy, military sexual trauma therapy, </w:t>
            </w:r>
            <w:r>
              <w:t>victim impact, trauma</w:t>
            </w:r>
            <w:r w:rsidR="00FE6D28">
              <w:t>-</w:t>
            </w:r>
            <w:r>
              <w:t>informed care based on specific veteran</w:t>
            </w:r>
            <w:r w:rsidR="00FE6D28">
              <w:t>'</w:t>
            </w:r>
            <w:r>
              <w:t xml:space="preserve">s trauma experiences, prolonged exposure therapy, pro-social networking, high-risk high-need supervision, field visits and other services as needed. </w:t>
            </w:r>
            <w:r w:rsidR="00047027">
              <w:t xml:space="preserve">In addition to providing these rehabilitation opportunities, VTCs offer </w:t>
            </w:r>
            <w:r w:rsidR="00E97A60">
              <w:t xml:space="preserve">veterans other </w:t>
            </w:r>
            <w:r w:rsidR="008E534A">
              <w:t xml:space="preserve">benefits </w:t>
            </w:r>
            <w:r w:rsidR="00E97A60">
              <w:t>that can reduce their involvement in the criminal justice system</w:t>
            </w:r>
            <w:r w:rsidR="0096068D">
              <w:t xml:space="preserve">, which </w:t>
            </w:r>
            <w:r>
              <w:t xml:space="preserve">can </w:t>
            </w:r>
            <w:r w:rsidR="00E97A60">
              <w:t xml:space="preserve">in turn </w:t>
            </w:r>
            <w:r>
              <w:t>provide a path to permanent housing, stable jobs, security clearances needed to work for the government, and peace of min</w:t>
            </w:r>
            <w:r>
              <w:t xml:space="preserve">d for the veteran and their family. </w:t>
            </w:r>
            <w:r w:rsidR="004A6847">
              <w:t>However,</w:t>
            </w:r>
            <w:r w:rsidR="00007C7B">
              <w:t xml:space="preserve"> </w:t>
            </w:r>
            <w:r w:rsidR="008E534A">
              <w:t>this is generally</w:t>
            </w:r>
            <w:r>
              <w:t xml:space="preserve"> only</w:t>
            </w:r>
            <w:r w:rsidR="008E534A">
              <w:t xml:space="preserve"> </w:t>
            </w:r>
            <w:r w:rsidR="0073370C">
              <w:t xml:space="preserve">available to veterans who are arrested for or charged with an offense </w:t>
            </w:r>
            <w:r w:rsidR="008E534A">
              <w:t xml:space="preserve">and not to </w:t>
            </w:r>
            <w:r w:rsidR="0073370C">
              <w:t>veterans who have been convicted or placed on community supervision</w:t>
            </w:r>
            <w:r w:rsidR="008E534A">
              <w:t xml:space="preserve">, despite that all such veterans can participate and successfully complete a VTC. C.S.H.B. 5177 seeks to </w:t>
            </w:r>
            <w:r>
              <w:t>remedy this issue by making veterans who have been placed on community supervision for certain offenses and successfully complete a veteran</w:t>
            </w:r>
            <w:r w:rsidR="00FE6D28">
              <w:t>s</w:t>
            </w:r>
            <w:r>
              <w:t xml:space="preserve"> treatment </w:t>
            </w:r>
            <w:r>
              <w:t>court program eligible for a reduction or termination of their community supervision</w:t>
            </w:r>
            <w:r w:rsidR="00C87230">
              <w:t>.</w:t>
            </w:r>
          </w:p>
          <w:p w14:paraId="098E18BF" w14:textId="74DC6C85" w:rsidR="008423E4" w:rsidRPr="00E01FBD" w:rsidRDefault="008423E4" w:rsidP="00266F9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</w:tc>
      </w:tr>
      <w:tr w:rsidR="006F5301" w14:paraId="22042C2A" w14:textId="77777777" w:rsidTr="002677FF">
        <w:tc>
          <w:tcPr>
            <w:tcW w:w="9360" w:type="dxa"/>
          </w:tcPr>
          <w:p w14:paraId="6B6EF469" w14:textId="77777777" w:rsidR="0017725B" w:rsidRDefault="00646FB6" w:rsidP="00266F9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AA36179" w14:textId="77777777" w:rsidR="0017725B" w:rsidRDefault="0017725B" w:rsidP="00266F9A">
            <w:pPr>
              <w:rPr>
                <w:b/>
                <w:u w:val="single"/>
              </w:rPr>
            </w:pPr>
          </w:p>
          <w:p w14:paraId="73C9DBDA" w14:textId="76E11796" w:rsidR="0017725B" w:rsidRPr="00F7579C" w:rsidRDefault="00646FB6" w:rsidP="00266F9A">
            <w:pPr>
              <w:jc w:val="both"/>
              <w:rPr>
                <w:b/>
                <w:u w:val="single"/>
              </w:rPr>
            </w:pPr>
            <w:r>
              <w:t>It is the committee's opinion that this bill does not expressly create a criminal offense, increase the punishment for an existing criminal off</w:t>
            </w:r>
            <w:r>
              <w:t>ense or category of offenses, or change the eligibility of a person for community supervision, parole, or mandatory supervision.</w:t>
            </w:r>
            <w:r w:rsidR="00266F9A">
              <w:br/>
            </w:r>
          </w:p>
        </w:tc>
      </w:tr>
      <w:tr w:rsidR="006F5301" w14:paraId="58381C94" w14:textId="77777777" w:rsidTr="002677FF">
        <w:tc>
          <w:tcPr>
            <w:tcW w:w="9360" w:type="dxa"/>
          </w:tcPr>
          <w:p w14:paraId="151F0560" w14:textId="77777777" w:rsidR="008423E4" w:rsidRPr="00A8133F" w:rsidRDefault="00646FB6" w:rsidP="00266F9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21DFD9A" w14:textId="77777777" w:rsidR="008423E4" w:rsidRDefault="008423E4" w:rsidP="00266F9A"/>
          <w:p w14:paraId="66A698F6" w14:textId="77777777" w:rsidR="008423E4" w:rsidRDefault="00646FB6" w:rsidP="00266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</w:t>
            </w:r>
            <w:r>
              <w:t>ity to a state officer, department, agency, or institution.</w:t>
            </w:r>
          </w:p>
          <w:p w14:paraId="40F37E11" w14:textId="3452C6EF" w:rsidR="00266F9A" w:rsidRPr="00E21FDC" w:rsidRDefault="00266F9A" w:rsidP="00266F9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6F5301" w14:paraId="646437DF" w14:textId="77777777" w:rsidTr="002677FF">
        <w:tc>
          <w:tcPr>
            <w:tcW w:w="9360" w:type="dxa"/>
          </w:tcPr>
          <w:p w14:paraId="7BAD41C3" w14:textId="77777777" w:rsidR="008423E4" w:rsidRPr="00A8133F" w:rsidRDefault="00646FB6" w:rsidP="00266F9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95F18F3" w14:textId="77777777" w:rsidR="00266F9A" w:rsidRDefault="00266F9A" w:rsidP="00266F9A">
            <w:pPr>
              <w:jc w:val="both"/>
            </w:pPr>
          </w:p>
          <w:p w14:paraId="56734F1E" w14:textId="38AB2960" w:rsidR="00004407" w:rsidRDefault="00646FB6" w:rsidP="00266F9A">
            <w:pPr>
              <w:jc w:val="both"/>
            </w:pPr>
            <w:r>
              <w:t xml:space="preserve">C.S.H.B. 5177 amends the Code of Criminal Procedure to </w:t>
            </w:r>
            <w:r w:rsidR="00F7579C">
              <w:t xml:space="preserve">make </w:t>
            </w:r>
            <w:r>
              <w:t xml:space="preserve">a defendant </w:t>
            </w:r>
            <w:r w:rsidR="00DA6A18">
              <w:t xml:space="preserve">who is </w:t>
            </w:r>
            <w:r>
              <w:t xml:space="preserve">convicted of </w:t>
            </w:r>
            <w:r w:rsidR="00F7579C">
              <w:t xml:space="preserve">any of </w:t>
            </w:r>
            <w:r>
              <w:t>the following offenses</w:t>
            </w:r>
            <w:r w:rsidR="00C27C03">
              <w:t xml:space="preserve"> </w:t>
            </w:r>
            <w:r w:rsidR="00DA6A18">
              <w:t xml:space="preserve">and placed on community supervision </w:t>
            </w:r>
            <w:r w:rsidR="00F7579C">
              <w:t xml:space="preserve">eligible for </w:t>
            </w:r>
            <w:r w:rsidR="00DA6A18">
              <w:t xml:space="preserve">a reduction or termination of the period of community supervision </w:t>
            </w:r>
            <w:r w:rsidR="005B5F14">
              <w:t xml:space="preserve">if the defendant has completed the lesser of one-third of the original period or two years of community supervision and </w:t>
            </w:r>
            <w:r w:rsidR="00FA5B12">
              <w:t xml:space="preserve">has </w:t>
            </w:r>
            <w:r w:rsidR="005B5F14">
              <w:t>successfully completed a veterans treatment court program</w:t>
            </w:r>
            <w:r>
              <w:t>:</w:t>
            </w:r>
          </w:p>
          <w:p w14:paraId="1161D617" w14:textId="5267A7B7" w:rsidR="00004407" w:rsidRDefault="00646FB6" w:rsidP="00266F9A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driving</w:t>
            </w:r>
            <w:r>
              <w:t xml:space="preserve"> while intoxicated; </w:t>
            </w:r>
          </w:p>
          <w:p w14:paraId="4810EDB5" w14:textId="77777777" w:rsidR="00DA6A18" w:rsidRDefault="00646FB6" w:rsidP="00266F9A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driving while intoxicated with child passenger; </w:t>
            </w:r>
          </w:p>
          <w:p w14:paraId="11CE9B20" w14:textId="4988DD65" w:rsidR="00004407" w:rsidRDefault="00646FB6" w:rsidP="00266F9A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flying while intoxicated; </w:t>
            </w:r>
          </w:p>
          <w:p w14:paraId="6269A690" w14:textId="1B8343F7" w:rsidR="00DA6A18" w:rsidRDefault="00646FB6" w:rsidP="00266F9A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boating while intoxicated;</w:t>
            </w:r>
          </w:p>
          <w:p w14:paraId="02D7535E" w14:textId="6A25EDF7" w:rsidR="00004407" w:rsidRDefault="00646FB6" w:rsidP="00266F9A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assembling or operating an amusement ride while intoxicated; </w:t>
            </w:r>
          </w:p>
          <w:p w14:paraId="170FEA46" w14:textId="4C27040E" w:rsidR="00004407" w:rsidRDefault="00646FB6" w:rsidP="00266F9A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intoxication assault; </w:t>
            </w:r>
            <w:r w:rsidR="00DA6A18">
              <w:t>or</w:t>
            </w:r>
          </w:p>
          <w:p w14:paraId="5F3A88FB" w14:textId="0FD3796F" w:rsidR="00004407" w:rsidRDefault="00646FB6" w:rsidP="00266F9A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intoxication manslaughter</w:t>
            </w:r>
            <w:r w:rsidR="005B5F14">
              <w:t>.</w:t>
            </w:r>
            <w:r>
              <w:t xml:space="preserve"> </w:t>
            </w:r>
          </w:p>
          <w:p w14:paraId="51C4BB59" w14:textId="77777777" w:rsidR="008423E4" w:rsidRDefault="00646FB6" w:rsidP="00266F9A">
            <w:pPr>
              <w:jc w:val="both"/>
            </w:pPr>
            <w:r>
              <w:t xml:space="preserve">This provision applies </w:t>
            </w:r>
            <w:r w:rsidRPr="002D759F">
              <w:t>only to a person who is placed on community supervision for an offense committed on or after the</w:t>
            </w:r>
            <w:r>
              <w:t xml:space="preserve"> bill</w:t>
            </w:r>
            <w:r w:rsidR="00FE6D28">
              <w:t>'</w:t>
            </w:r>
            <w:r>
              <w:t>s</w:t>
            </w:r>
            <w:r w:rsidRPr="002D759F">
              <w:t xml:space="preserve"> effective date</w:t>
            </w:r>
            <w:r>
              <w:t>.</w:t>
            </w:r>
            <w:r w:rsidR="005B5F14">
              <w:t xml:space="preserve"> The bill provides for the continuation of the law in effect before the bill's effective date for purposes of an offense, or any element thereof, that occurred before that date.</w:t>
            </w:r>
          </w:p>
          <w:p w14:paraId="4CFB6BD2" w14:textId="704CEA48" w:rsidR="00266F9A" w:rsidRPr="00835628" w:rsidRDefault="00266F9A" w:rsidP="00266F9A">
            <w:pPr>
              <w:jc w:val="both"/>
              <w:rPr>
                <w:b/>
              </w:rPr>
            </w:pPr>
          </w:p>
        </w:tc>
      </w:tr>
      <w:tr w:rsidR="006F5301" w14:paraId="09D99C08" w14:textId="77777777" w:rsidTr="002677FF">
        <w:tc>
          <w:tcPr>
            <w:tcW w:w="9360" w:type="dxa"/>
          </w:tcPr>
          <w:p w14:paraId="73C04505" w14:textId="77777777" w:rsidR="008423E4" w:rsidRPr="00A8133F" w:rsidRDefault="00646FB6" w:rsidP="00266F9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224B6F2" w14:textId="77777777" w:rsidR="008423E4" w:rsidRDefault="008423E4" w:rsidP="00266F9A"/>
          <w:p w14:paraId="6BBE3AC5" w14:textId="77777777" w:rsidR="008423E4" w:rsidRDefault="00646FB6" w:rsidP="00266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71348B9" w14:textId="572619F2" w:rsidR="00266F9A" w:rsidRPr="00233FDB" w:rsidRDefault="00266F9A" w:rsidP="00266F9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6F5301" w14:paraId="5CE151DE" w14:textId="77777777" w:rsidTr="002677FF">
        <w:tc>
          <w:tcPr>
            <w:tcW w:w="9360" w:type="dxa"/>
          </w:tcPr>
          <w:p w14:paraId="44113A49" w14:textId="2528920F" w:rsidR="00166D6E" w:rsidRDefault="00646FB6" w:rsidP="00266F9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41025CA" w14:textId="77777777" w:rsidR="00266F9A" w:rsidRDefault="00266F9A" w:rsidP="00266F9A">
            <w:pPr>
              <w:jc w:val="both"/>
            </w:pPr>
          </w:p>
          <w:p w14:paraId="208D040E" w14:textId="7BE179F2" w:rsidR="002D759F" w:rsidRPr="002D759F" w:rsidRDefault="00646FB6" w:rsidP="00266F9A">
            <w:pPr>
              <w:jc w:val="both"/>
              <w:rPr>
                <w:bCs/>
              </w:rPr>
            </w:pPr>
            <w:r>
              <w:t xml:space="preserve">The substitute includes provisions </w:t>
            </w:r>
            <w:r w:rsidR="00B3530D">
              <w:t xml:space="preserve">absent from the introduced </w:t>
            </w:r>
            <w:r>
              <w:t xml:space="preserve">relating to </w:t>
            </w:r>
            <w:r w:rsidR="002F16AC">
              <w:t>the</w:t>
            </w:r>
            <w:r w:rsidRPr="002D759F">
              <w:t xml:space="preserve"> eligibility </w:t>
            </w:r>
            <w:r w:rsidR="002F16AC">
              <w:t xml:space="preserve">of a defendant who is convicted of certain intoxication-related offenses and placed on community supervision </w:t>
            </w:r>
            <w:r w:rsidRPr="002D759F">
              <w:t xml:space="preserve">for </w:t>
            </w:r>
            <w:r w:rsidR="002F16AC">
              <w:t xml:space="preserve">a </w:t>
            </w:r>
            <w:r w:rsidRPr="002D759F">
              <w:t xml:space="preserve">reduction or termination of </w:t>
            </w:r>
            <w:r w:rsidR="002F16AC">
              <w:t xml:space="preserve">the period of </w:t>
            </w:r>
            <w:r w:rsidRPr="002D759F">
              <w:t>community supervision</w:t>
            </w:r>
            <w:r w:rsidR="002F16AC">
              <w:t>, provided the defendant completes a specified amount of community supervision and successfully completes a veterans treatment court program</w:t>
            </w:r>
            <w:r w:rsidR="00B3530D">
              <w:t>. E</w:t>
            </w:r>
            <w:r w:rsidR="00AC18DA">
              <w:t>xcept for the effective date,</w:t>
            </w:r>
            <w:r>
              <w:t xml:space="preserve"> </w:t>
            </w:r>
            <w:r w:rsidR="00B3530D">
              <w:t xml:space="preserve">the substitute </w:t>
            </w:r>
            <w:r>
              <w:t xml:space="preserve">does not include any provisions from the introduced, which relates to </w:t>
            </w:r>
            <w:r w:rsidRPr="002D759F">
              <w:t xml:space="preserve">the </w:t>
            </w:r>
            <w:r w:rsidR="0059205D">
              <w:t>eligibility of any justice</w:t>
            </w:r>
            <w:r w:rsidR="00FE6D28">
              <w:t>-</w:t>
            </w:r>
            <w:r w:rsidR="0059205D">
              <w:t>involved veteran who completes a veterans treatment court program with the concurrence of the district attorney for discharge and dismissal and release from all disabilities resulting from the justice</w:t>
            </w:r>
            <w:r w:rsidR="00FE6D28">
              <w:t>-</w:t>
            </w:r>
            <w:r w:rsidR="0059205D">
              <w:t xml:space="preserve">involved event. </w:t>
            </w:r>
          </w:p>
        </w:tc>
      </w:tr>
    </w:tbl>
    <w:p w14:paraId="7C438292" w14:textId="77777777" w:rsidR="008423E4" w:rsidRPr="00BE0E75" w:rsidRDefault="008423E4" w:rsidP="00266F9A">
      <w:pPr>
        <w:jc w:val="both"/>
        <w:rPr>
          <w:rFonts w:ascii="Arial" w:hAnsi="Arial"/>
          <w:sz w:val="16"/>
          <w:szCs w:val="16"/>
        </w:rPr>
      </w:pPr>
    </w:p>
    <w:p w14:paraId="44F50690" w14:textId="77777777" w:rsidR="004108C3" w:rsidRPr="008423E4" w:rsidRDefault="004108C3" w:rsidP="00266F9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4D8A" w14:textId="77777777" w:rsidR="00000000" w:rsidRDefault="00646FB6">
      <w:r>
        <w:separator/>
      </w:r>
    </w:p>
  </w:endnote>
  <w:endnote w:type="continuationSeparator" w:id="0">
    <w:p w14:paraId="07631225" w14:textId="77777777" w:rsidR="00000000" w:rsidRDefault="0064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7F0E" w14:textId="77777777" w:rsidR="00A31D09" w:rsidRDefault="00A31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F5301" w14:paraId="4C9DA1C9" w14:textId="77777777" w:rsidTr="009C1E9A">
      <w:trPr>
        <w:cantSplit/>
      </w:trPr>
      <w:tc>
        <w:tcPr>
          <w:tcW w:w="0" w:type="pct"/>
        </w:tcPr>
        <w:p w14:paraId="4F470B3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86E0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54EC5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CFB5C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2059E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F5301" w14:paraId="5B38AF5E" w14:textId="77777777" w:rsidTr="009C1E9A">
      <w:trPr>
        <w:cantSplit/>
      </w:trPr>
      <w:tc>
        <w:tcPr>
          <w:tcW w:w="0" w:type="pct"/>
        </w:tcPr>
        <w:p w14:paraId="565472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0B330AD" w14:textId="2AA2D0BB" w:rsidR="00EC379B" w:rsidRPr="009C1E9A" w:rsidRDefault="00646FB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26526-D</w:t>
          </w:r>
        </w:p>
      </w:tc>
      <w:tc>
        <w:tcPr>
          <w:tcW w:w="2453" w:type="pct"/>
        </w:tcPr>
        <w:p w14:paraId="755F11BE" w14:textId="71F460F1" w:rsidR="00EC379B" w:rsidRDefault="00646FB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446CB">
            <w:t>23.125.315</w:t>
          </w:r>
          <w:r>
            <w:fldChar w:fldCharType="end"/>
          </w:r>
        </w:p>
      </w:tc>
    </w:tr>
    <w:tr w:rsidR="006F5301" w14:paraId="246D996D" w14:textId="77777777" w:rsidTr="009C1E9A">
      <w:trPr>
        <w:cantSplit/>
      </w:trPr>
      <w:tc>
        <w:tcPr>
          <w:tcW w:w="0" w:type="pct"/>
        </w:tcPr>
        <w:p w14:paraId="28AC8C9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E99E506" w14:textId="51ED00E6" w:rsidR="00EC379B" w:rsidRPr="009C1E9A" w:rsidRDefault="00646FB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25382</w:t>
          </w:r>
        </w:p>
      </w:tc>
      <w:tc>
        <w:tcPr>
          <w:tcW w:w="2453" w:type="pct"/>
        </w:tcPr>
        <w:p w14:paraId="70F4208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0908C9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F5301" w14:paraId="01C69CE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BA3C304" w14:textId="77777777" w:rsidR="00EC379B" w:rsidRDefault="00646FB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47D30D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B7D9E1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2F3E" w14:textId="77777777" w:rsidR="00A31D09" w:rsidRDefault="00A31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56BD" w14:textId="77777777" w:rsidR="00000000" w:rsidRDefault="00646FB6">
      <w:r>
        <w:separator/>
      </w:r>
    </w:p>
  </w:footnote>
  <w:footnote w:type="continuationSeparator" w:id="0">
    <w:p w14:paraId="7635192B" w14:textId="77777777" w:rsidR="00000000" w:rsidRDefault="0064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A89E" w14:textId="77777777" w:rsidR="00A31D09" w:rsidRDefault="00A31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B0BD" w14:textId="77777777" w:rsidR="00A31D09" w:rsidRDefault="00A31D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0C7E" w14:textId="77777777" w:rsidR="00A31D09" w:rsidRDefault="00A31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90650"/>
    <w:multiLevelType w:val="hybridMultilevel"/>
    <w:tmpl w:val="DA14DBDE"/>
    <w:lvl w:ilvl="0" w:tplc="EE9EC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C5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00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A0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A9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6D0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07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E6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E41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4F"/>
    <w:rsid w:val="00000A70"/>
    <w:rsid w:val="000032B8"/>
    <w:rsid w:val="00003B06"/>
    <w:rsid w:val="00004407"/>
    <w:rsid w:val="000054B9"/>
    <w:rsid w:val="00007461"/>
    <w:rsid w:val="00007C7B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027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D6E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1DE9"/>
    <w:rsid w:val="0023341D"/>
    <w:rsid w:val="002338DA"/>
    <w:rsid w:val="00233D66"/>
    <w:rsid w:val="00233FDB"/>
    <w:rsid w:val="00234F58"/>
    <w:rsid w:val="0023507D"/>
    <w:rsid w:val="0023616C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F9A"/>
    <w:rsid w:val="002677FF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59F"/>
    <w:rsid w:val="002E21B8"/>
    <w:rsid w:val="002E7DF9"/>
    <w:rsid w:val="002F097B"/>
    <w:rsid w:val="002F16AC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F78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A0B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1B41"/>
    <w:rsid w:val="004824A7"/>
    <w:rsid w:val="00483AF0"/>
    <w:rsid w:val="00484167"/>
    <w:rsid w:val="00492211"/>
    <w:rsid w:val="00492325"/>
    <w:rsid w:val="00492A6D"/>
    <w:rsid w:val="00492AF2"/>
    <w:rsid w:val="00494303"/>
    <w:rsid w:val="0049682B"/>
    <w:rsid w:val="004977A3"/>
    <w:rsid w:val="004A03F7"/>
    <w:rsid w:val="004A081C"/>
    <w:rsid w:val="004A123F"/>
    <w:rsid w:val="004A2172"/>
    <w:rsid w:val="004A239F"/>
    <w:rsid w:val="004A6847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1A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05D"/>
    <w:rsid w:val="00592C9A"/>
    <w:rsid w:val="00593DF8"/>
    <w:rsid w:val="00595745"/>
    <w:rsid w:val="005A0E18"/>
    <w:rsid w:val="005A12A5"/>
    <w:rsid w:val="005A3790"/>
    <w:rsid w:val="005A3CCB"/>
    <w:rsid w:val="005A6A76"/>
    <w:rsid w:val="005A6D13"/>
    <w:rsid w:val="005B031F"/>
    <w:rsid w:val="005B3298"/>
    <w:rsid w:val="005B3C13"/>
    <w:rsid w:val="005B5516"/>
    <w:rsid w:val="005B5D2B"/>
    <w:rsid w:val="005B5F14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FB6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0A01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301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70C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1D1C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DF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6E0"/>
    <w:rsid w:val="008B5D20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34A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35E"/>
    <w:rsid w:val="00930897"/>
    <w:rsid w:val="009320D2"/>
    <w:rsid w:val="009329FB"/>
    <w:rsid w:val="00932C77"/>
    <w:rsid w:val="009337A9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68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1D09"/>
    <w:rsid w:val="00A32304"/>
    <w:rsid w:val="00A3420E"/>
    <w:rsid w:val="00A35D66"/>
    <w:rsid w:val="00A41085"/>
    <w:rsid w:val="00A425FA"/>
    <w:rsid w:val="00A43960"/>
    <w:rsid w:val="00A446CB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2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8DA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30D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27C03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230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643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44F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18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3FA7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1FBD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05B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20D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A60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06E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579C"/>
    <w:rsid w:val="00F7758F"/>
    <w:rsid w:val="00F82811"/>
    <w:rsid w:val="00F84153"/>
    <w:rsid w:val="00F85661"/>
    <w:rsid w:val="00F96602"/>
    <w:rsid w:val="00F9735A"/>
    <w:rsid w:val="00FA32FC"/>
    <w:rsid w:val="00FA59FD"/>
    <w:rsid w:val="00FA5B12"/>
    <w:rsid w:val="00FA5D8C"/>
    <w:rsid w:val="00FA6403"/>
    <w:rsid w:val="00FB16CD"/>
    <w:rsid w:val="00FB73AE"/>
    <w:rsid w:val="00FC5387"/>
    <w:rsid w:val="00FC5388"/>
    <w:rsid w:val="00FC726C"/>
    <w:rsid w:val="00FC7F33"/>
    <w:rsid w:val="00FD1B4B"/>
    <w:rsid w:val="00FD1B94"/>
    <w:rsid w:val="00FE19C5"/>
    <w:rsid w:val="00FE4286"/>
    <w:rsid w:val="00FE48C3"/>
    <w:rsid w:val="00FE5909"/>
    <w:rsid w:val="00FE652E"/>
    <w:rsid w:val="00FE6D28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A55E95-6B6A-4AC8-8F88-EEBD7935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B5D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5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5D2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5D20"/>
    <w:rPr>
      <w:b/>
      <w:bCs/>
    </w:rPr>
  </w:style>
  <w:style w:type="paragraph" w:styleId="Revision">
    <w:name w:val="Revision"/>
    <w:hidden/>
    <w:uiPriority w:val="99"/>
    <w:semiHidden/>
    <w:rsid w:val="002D759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B5F14"/>
    <w:pPr>
      <w:ind w:left="720"/>
      <w:contextualSpacing/>
    </w:pPr>
  </w:style>
  <w:style w:type="character" w:styleId="Hyperlink">
    <w:name w:val="Hyperlink"/>
    <w:basedOn w:val="DefaultParagraphFont"/>
    <w:unhideWhenUsed/>
    <w:rsid w:val="004A684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8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470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3491</Characters>
  <Application>Microsoft Office Word</Application>
  <DocSecurity>4</DocSecurity>
  <Lines>78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HB05177 (Committee Report (Substituted))</vt:lpstr>
    </vt:vector>
  </TitlesOfParts>
  <Company>State of Texas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26526</dc:subject>
  <dc:creator>State of Texas</dc:creator>
  <dc:description>HB 5177 by Lopez, Ray-(H)Corrections (Substitute Document Number: 88R 25382)</dc:description>
  <cp:lastModifiedBy>Alan Gonzalez Otero</cp:lastModifiedBy>
  <cp:revision>2</cp:revision>
  <cp:lastPrinted>2003-11-26T17:21:00Z</cp:lastPrinted>
  <dcterms:created xsi:type="dcterms:W3CDTF">2023-05-05T19:44:00Z</dcterms:created>
  <dcterms:modified xsi:type="dcterms:W3CDTF">2023-05-05T19:44:00Z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23.125.315</vt:lpwstr>
  </property>
</Properties>
</file>