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271BE" w14:paraId="47769E17" w14:textId="77777777" w:rsidTr="00345119">
        <w:tc>
          <w:tcPr>
            <w:tcW w:w="9576" w:type="dxa"/>
            <w:noWrap/>
          </w:tcPr>
          <w:p w14:paraId="5D274B0A" w14:textId="77777777" w:rsidR="008423E4" w:rsidRPr="0022177D" w:rsidRDefault="00A17566" w:rsidP="00AC56C5">
            <w:pPr>
              <w:pStyle w:val="Heading1"/>
            </w:pPr>
            <w:r w:rsidRPr="00631897">
              <w:t>BILL ANALYSIS</w:t>
            </w:r>
          </w:p>
        </w:tc>
      </w:tr>
    </w:tbl>
    <w:p w14:paraId="2C9BC1EE" w14:textId="77777777" w:rsidR="008423E4" w:rsidRPr="0022177D" w:rsidRDefault="008423E4" w:rsidP="00AC56C5">
      <w:pPr>
        <w:jc w:val="center"/>
      </w:pPr>
    </w:p>
    <w:p w14:paraId="6E6B9EAD" w14:textId="77777777" w:rsidR="008423E4" w:rsidRPr="00B31F0E" w:rsidRDefault="008423E4" w:rsidP="00AC56C5"/>
    <w:p w14:paraId="31B33D2C" w14:textId="77777777" w:rsidR="008423E4" w:rsidRPr="00742794" w:rsidRDefault="008423E4" w:rsidP="00AC56C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271BE" w14:paraId="2F5672E1" w14:textId="77777777" w:rsidTr="00345119">
        <w:tc>
          <w:tcPr>
            <w:tcW w:w="9576" w:type="dxa"/>
          </w:tcPr>
          <w:p w14:paraId="443E913C" w14:textId="6D2D4EA3" w:rsidR="008423E4" w:rsidRPr="00861995" w:rsidRDefault="00A17566" w:rsidP="00AC56C5">
            <w:pPr>
              <w:jc w:val="right"/>
            </w:pPr>
            <w:r>
              <w:t>H.B. 5183</w:t>
            </w:r>
          </w:p>
        </w:tc>
      </w:tr>
      <w:tr w:rsidR="004271BE" w14:paraId="6E1BFFC4" w14:textId="77777777" w:rsidTr="00345119">
        <w:tc>
          <w:tcPr>
            <w:tcW w:w="9576" w:type="dxa"/>
          </w:tcPr>
          <w:p w14:paraId="2281F18A" w14:textId="7D43C7A5" w:rsidR="008423E4" w:rsidRPr="00861995" w:rsidRDefault="00A17566" w:rsidP="00AC56C5">
            <w:pPr>
              <w:jc w:val="right"/>
            </w:pPr>
            <w:r>
              <w:t xml:space="preserve">By: </w:t>
            </w:r>
            <w:r w:rsidR="00A92A05">
              <w:t>Guillen</w:t>
            </w:r>
          </w:p>
        </w:tc>
      </w:tr>
      <w:tr w:rsidR="004271BE" w14:paraId="204CCA66" w14:textId="77777777" w:rsidTr="00345119">
        <w:tc>
          <w:tcPr>
            <w:tcW w:w="9576" w:type="dxa"/>
          </w:tcPr>
          <w:p w14:paraId="432FEABA" w14:textId="35C9CFF3" w:rsidR="008423E4" w:rsidRPr="00861995" w:rsidRDefault="00A17566" w:rsidP="00AC56C5">
            <w:pPr>
              <w:jc w:val="right"/>
            </w:pPr>
            <w:r>
              <w:t>Corrections</w:t>
            </w:r>
          </w:p>
        </w:tc>
      </w:tr>
      <w:tr w:rsidR="004271BE" w14:paraId="5FC9F172" w14:textId="77777777" w:rsidTr="00345119">
        <w:tc>
          <w:tcPr>
            <w:tcW w:w="9576" w:type="dxa"/>
          </w:tcPr>
          <w:p w14:paraId="3CFD62F4" w14:textId="52259C0B" w:rsidR="008423E4" w:rsidRDefault="00A17566" w:rsidP="00AC56C5">
            <w:pPr>
              <w:jc w:val="right"/>
            </w:pPr>
            <w:r>
              <w:t>Committee Report (Unamended)</w:t>
            </w:r>
          </w:p>
        </w:tc>
      </w:tr>
    </w:tbl>
    <w:p w14:paraId="61409534" w14:textId="77777777" w:rsidR="008423E4" w:rsidRDefault="008423E4" w:rsidP="00AC56C5">
      <w:pPr>
        <w:tabs>
          <w:tab w:val="right" w:pos="9360"/>
        </w:tabs>
      </w:pPr>
    </w:p>
    <w:p w14:paraId="05A8D039" w14:textId="77777777" w:rsidR="008423E4" w:rsidRDefault="008423E4" w:rsidP="00AC56C5"/>
    <w:p w14:paraId="3848D680" w14:textId="77777777" w:rsidR="008423E4" w:rsidRDefault="008423E4" w:rsidP="00AC56C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271BE" w14:paraId="67765D21" w14:textId="77777777" w:rsidTr="00345119">
        <w:tc>
          <w:tcPr>
            <w:tcW w:w="9576" w:type="dxa"/>
          </w:tcPr>
          <w:p w14:paraId="5D59C464" w14:textId="77777777" w:rsidR="008423E4" w:rsidRPr="00A8133F" w:rsidRDefault="00A17566" w:rsidP="00AC56C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D00CA3" w14:textId="77777777" w:rsidR="008423E4" w:rsidRDefault="008423E4" w:rsidP="00AC56C5"/>
          <w:p w14:paraId="6381C106" w14:textId="78D06CA0" w:rsidR="008423E4" w:rsidRDefault="00A17566" w:rsidP="00AC56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 confusion regarding what type of</w:t>
            </w:r>
            <w:r w:rsidR="00AA6D67">
              <w:t xml:space="preserve"> </w:t>
            </w:r>
            <w:r>
              <w:t xml:space="preserve">treatment facilities the Department of State Health Services </w:t>
            </w:r>
            <w:r w:rsidRPr="00125C91">
              <w:t>(DSHS)</w:t>
            </w:r>
            <w:r>
              <w:t xml:space="preserve"> needs to monitor</w:t>
            </w:r>
            <w:r w:rsidR="00836FF8">
              <w:t xml:space="preserve"> and </w:t>
            </w:r>
            <w:r>
              <w:t>coordinate</w:t>
            </w:r>
            <w:r w:rsidR="00AA6D67">
              <w:t>,</w:t>
            </w:r>
            <w:r w:rsidR="00836FF8">
              <w:t xml:space="preserve"> </w:t>
            </w:r>
            <w:r>
              <w:t xml:space="preserve">and </w:t>
            </w:r>
            <w:r w:rsidR="00836FF8">
              <w:t xml:space="preserve">for which they need to </w:t>
            </w:r>
            <w:r>
              <w:t>provide training</w:t>
            </w:r>
            <w:r w:rsidR="00AA6D67">
              <w:t xml:space="preserve">, with regard to </w:t>
            </w:r>
            <w:r w:rsidR="00AA6D67" w:rsidRPr="00AA6D67">
              <w:t xml:space="preserve">equivalent educational programs for </w:t>
            </w:r>
            <w:r w:rsidR="00AA6D67">
              <w:t>individuals</w:t>
            </w:r>
            <w:r w:rsidR="00AA6D67" w:rsidRPr="00AA6D67">
              <w:t xml:space="preserve"> whose driver's license is suspended following conviction of certain drug offenses</w:t>
            </w:r>
            <w:r>
              <w:t xml:space="preserve">. This confusion has </w:t>
            </w:r>
            <w:r w:rsidR="00267DA2">
              <w:t>rendered</w:t>
            </w:r>
            <w:r>
              <w:t xml:space="preserve"> </w:t>
            </w:r>
            <w:r w:rsidRPr="00125C91">
              <w:t xml:space="preserve">DSHS </w:t>
            </w:r>
            <w:r>
              <w:t>unable to</w:t>
            </w:r>
            <w:r w:rsidR="00836FF8">
              <w:t xml:space="preserve"> adequately fulfill its responsibilities with regard to</w:t>
            </w:r>
            <w:r w:rsidR="00AA6D67">
              <w:t xml:space="preserve"> these facilities.</w:t>
            </w:r>
            <w:r>
              <w:t xml:space="preserve"> H</w:t>
            </w:r>
            <w:r w:rsidR="00546FB4">
              <w:t>.</w:t>
            </w:r>
            <w:r>
              <w:t>B</w:t>
            </w:r>
            <w:r w:rsidR="00546FB4">
              <w:t>.</w:t>
            </w:r>
            <w:r w:rsidR="00CF3B20">
              <w:t> </w:t>
            </w:r>
            <w:r>
              <w:t xml:space="preserve">5183 </w:t>
            </w:r>
            <w:r w:rsidR="00546FB4">
              <w:t xml:space="preserve">seeks to provide </w:t>
            </w:r>
            <w:r>
              <w:t>clari</w:t>
            </w:r>
            <w:r w:rsidR="00546FB4">
              <w:t>ty regarding DSHS's</w:t>
            </w:r>
            <w:r>
              <w:t xml:space="preserve"> duties</w:t>
            </w:r>
            <w:r w:rsidR="00546FB4">
              <w:t xml:space="preserve"> </w:t>
            </w:r>
            <w:r w:rsidR="00267DA2">
              <w:t>relating to</w:t>
            </w:r>
            <w:r w:rsidR="00AA6D67">
              <w:t xml:space="preserve"> these treatment facilities and programs</w:t>
            </w:r>
            <w:r w:rsidR="00546FB4">
              <w:t>.</w:t>
            </w:r>
          </w:p>
          <w:p w14:paraId="03D6EE08" w14:textId="77777777" w:rsidR="008423E4" w:rsidRPr="00E26B13" w:rsidRDefault="008423E4" w:rsidP="00AC56C5">
            <w:pPr>
              <w:rPr>
                <w:b/>
              </w:rPr>
            </w:pPr>
          </w:p>
        </w:tc>
      </w:tr>
      <w:tr w:rsidR="004271BE" w14:paraId="126210CC" w14:textId="77777777" w:rsidTr="00345119">
        <w:tc>
          <w:tcPr>
            <w:tcW w:w="9576" w:type="dxa"/>
          </w:tcPr>
          <w:p w14:paraId="42DFABFB" w14:textId="77777777" w:rsidR="0017725B" w:rsidRDefault="00A17566" w:rsidP="00AC56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D592BA" w14:textId="77777777" w:rsidR="0017725B" w:rsidRDefault="0017725B" w:rsidP="00AC56C5">
            <w:pPr>
              <w:rPr>
                <w:b/>
                <w:u w:val="single"/>
              </w:rPr>
            </w:pPr>
          </w:p>
          <w:p w14:paraId="777BAD45" w14:textId="5EB33177" w:rsidR="00CA624F" w:rsidRPr="00CA624F" w:rsidRDefault="00A17566" w:rsidP="00AC56C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66A99265" w14:textId="77777777" w:rsidR="0017725B" w:rsidRPr="0017725B" w:rsidRDefault="0017725B" w:rsidP="00AC56C5">
            <w:pPr>
              <w:rPr>
                <w:b/>
                <w:u w:val="single"/>
              </w:rPr>
            </w:pPr>
          </w:p>
        </w:tc>
      </w:tr>
      <w:tr w:rsidR="004271BE" w14:paraId="1611AF19" w14:textId="77777777" w:rsidTr="00345119">
        <w:tc>
          <w:tcPr>
            <w:tcW w:w="9576" w:type="dxa"/>
          </w:tcPr>
          <w:p w14:paraId="572B2F5C" w14:textId="77777777" w:rsidR="008423E4" w:rsidRPr="00A8133F" w:rsidRDefault="00A17566" w:rsidP="00AC56C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C4C0AD" w14:textId="77777777" w:rsidR="008423E4" w:rsidRDefault="008423E4" w:rsidP="00AC56C5"/>
          <w:p w14:paraId="05A4B4C5" w14:textId="1AB7A716" w:rsidR="00CA624F" w:rsidRDefault="00A17566" w:rsidP="00AC56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0F9D47" w14:textId="77777777" w:rsidR="008423E4" w:rsidRPr="00E21FDC" w:rsidRDefault="008423E4" w:rsidP="00AC56C5">
            <w:pPr>
              <w:rPr>
                <w:b/>
              </w:rPr>
            </w:pPr>
          </w:p>
        </w:tc>
      </w:tr>
      <w:tr w:rsidR="004271BE" w14:paraId="0CE689D5" w14:textId="77777777" w:rsidTr="00345119">
        <w:tc>
          <w:tcPr>
            <w:tcW w:w="9576" w:type="dxa"/>
          </w:tcPr>
          <w:p w14:paraId="3F7700C3" w14:textId="77777777" w:rsidR="008423E4" w:rsidRPr="00A8133F" w:rsidRDefault="00A17566" w:rsidP="00AC56C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6518E6" w14:textId="77777777" w:rsidR="008423E4" w:rsidRDefault="008423E4" w:rsidP="00AC56C5"/>
          <w:p w14:paraId="0B636A16" w14:textId="2D7D975B" w:rsidR="00A80D3D" w:rsidRDefault="00A17566" w:rsidP="00AC56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5183 amends the </w:t>
            </w:r>
            <w:r w:rsidRPr="00CA624F">
              <w:t>Transportation Code</w:t>
            </w:r>
            <w:r>
              <w:t xml:space="preserve"> to clarify the duties of the Department of State Health Services</w:t>
            </w:r>
            <w:r w:rsidR="00836FF8">
              <w:t xml:space="preserve"> (DSHS)</w:t>
            </w:r>
            <w:r>
              <w:t xml:space="preserve"> with regard to equivalent educational programs for persons whose driver's license is suspended following conviction of certain drug offenses. The bill </w:t>
            </w:r>
            <w:r w:rsidR="006C1F4B">
              <w:t>does</w:t>
            </w:r>
            <w:r>
              <w:t xml:space="preserve"> the following:</w:t>
            </w:r>
          </w:p>
          <w:p w14:paraId="1270B240" w14:textId="6809B983" w:rsidR="00A80D3D" w:rsidRDefault="00A17566" w:rsidP="00AC56C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restricts the residential treatment facilities DSHS must monitor and coordinate, and</w:t>
            </w:r>
            <w:r>
              <w:t xml:space="preserve"> for which DSHS must provide training, to chemical dependency treatment facilities; and</w:t>
            </w:r>
          </w:p>
          <w:p w14:paraId="5D499ED4" w14:textId="16218A0B" w:rsidR="00A80D3D" w:rsidRDefault="00A17566" w:rsidP="00AC56C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restricts the facilities DSHS must administer the approval of equivalent education provided in the facilities to the following facilities:</w:t>
            </w:r>
          </w:p>
          <w:p w14:paraId="1056A17D" w14:textId="7A16A63D" w:rsidR="006C1F4B" w:rsidRDefault="00A17566" w:rsidP="00AC56C5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6C1F4B">
              <w:t>a substance abuse treatment f</w:t>
            </w:r>
            <w:r w:rsidRPr="006C1F4B">
              <w:t>acility or substance abuse felony punishment facility operated by the Texas Department of Criminal Justice</w:t>
            </w:r>
            <w:r w:rsidR="00836FF8">
              <w:t xml:space="preserve"> (TDCJ)</w:t>
            </w:r>
            <w:r>
              <w:t>; and</w:t>
            </w:r>
          </w:p>
          <w:p w14:paraId="4A57B574" w14:textId="641C45CA" w:rsidR="006C1F4B" w:rsidRDefault="00A17566" w:rsidP="00AC56C5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 community corrections facility.</w:t>
            </w:r>
          </w:p>
          <w:p w14:paraId="76067053" w14:textId="77777777" w:rsidR="00A80D3D" w:rsidRDefault="00A80D3D" w:rsidP="00AC56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E80480" w14:textId="2722EE15" w:rsidR="008C757A" w:rsidRDefault="00A17566" w:rsidP="00AC56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5183 </w:t>
            </w:r>
            <w:r w:rsidR="00CA624F">
              <w:t>require</w:t>
            </w:r>
            <w:r>
              <w:t>s</w:t>
            </w:r>
            <w:r w:rsidR="00CA624F">
              <w:t xml:space="preserve"> </w:t>
            </w:r>
            <w:r w:rsidR="00971553">
              <w:t xml:space="preserve">TDCJ </w:t>
            </w:r>
            <w:r w:rsidR="00CA624F" w:rsidRPr="00CA624F">
              <w:t>or a community supervision and corrections department</w:t>
            </w:r>
            <w:r w:rsidR="00D53B40">
              <w:t xml:space="preserve"> operating </w:t>
            </w:r>
            <w:r>
              <w:t xml:space="preserve">such </w:t>
            </w:r>
            <w:r w:rsidR="00971553">
              <w:t xml:space="preserve">an equivalent </w:t>
            </w:r>
            <w:r w:rsidR="00971553" w:rsidRPr="00CA624F">
              <w:t>educational program</w:t>
            </w:r>
            <w:r w:rsidR="00D53B40">
              <w:t xml:space="preserve"> to submit information regarding the program </w:t>
            </w:r>
            <w:r w:rsidR="00CA624F" w:rsidRPr="00CA624F">
              <w:t xml:space="preserve">to </w:t>
            </w:r>
            <w:r>
              <w:t>DSHS</w:t>
            </w:r>
            <w:r w:rsidR="00CA624F" w:rsidRPr="00CA624F">
              <w:t xml:space="preserve"> for approval</w:t>
            </w:r>
            <w:r w:rsidR="00CA624F">
              <w:t>.</w:t>
            </w:r>
            <w:r>
              <w:t xml:space="preserve"> Th</w:t>
            </w:r>
            <w:r w:rsidR="000E75F9">
              <w:t>is</w:t>
            </w:r>
            <w:r>
              <w:t xml:space="preserve"> requirement applies to a program operating in the following facilities:</w:t>
            </w:r>
          </w:p>
          <w:p w14:paraId="78141C92" w14:textId="455EBCAB" w:rsidR="008423E4" w:rsidRPr="0058574B" w:rsidRDefault="00A17566" w:rsidP="00AC56C5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CF3B20">
              <w:t xml:space="preserve">a substance abuse treatment facility or substance abuse felony punishment </w:t>
            </w:r>
            <w:r w:rsidRPr="00CF3B20">
              <w:t>facility</w:t>
            </w:r>
            <w:r w:rsidR="00971553" w:rsidRPr="00CF3B20">
              <w:t xml:space="preserve"> operated by TDCJ; and </w:t>
            </w:r>
          </w:p>
          <w:p w14:paraId="45662BE8" w14:textId="77777777" w:rsidR="00971553" w:rsidRDefault="00A17566" w:rsidP="00AC56C5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CF3B20">
              <w:t>a community corrections facility.</w:t>
            </w:r>
          </w:p>
          <w:p w14:paraId="05A1026C" w14:textId="5C2653B5" w:rsidR="00AC56C5" w:rsidRPr="00123F7F" w:rsidRDefault="00AC56C5" w:rsidP="00AC56C5"/>
        </w:tc>
      </w:tr>
      <w:tr w:rsidR="004271BE" w14:paraId="226D4D5F" w14:textId="77777777" w:rsidTr="00345119">
        <w:tc>
          <w:tcPr>
            <w:tcW w:w="9576" w:type="dxa"/>
          </w:tcPr>
          <w:p w14:paraId="03426462" w14:textId="77777777" w:rsidR="008423E4" w:rsidRPr="00A8133F" w:rsidRDefault="00A17566" w:rsidP="00AC56C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11B954" w14:textId="77777777" w:rsidR="008423E4" w:rsidRDefault="008423E4" w:rsidP="00AC56C5"/>
          <w:p w14:paraId="6D138F4C" w14:textId="16BDC969" w:rsidR="008423E4" w:rsidRPr="00AC56C5" w:rsidRDefault="00A17566" w:rsidP="00AC56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</w:t>
            </w:r>
            <w:r w:rsidR="00AC56C5">
              <w:t>.</w:t>
            </w:r>
          </w:p>
        </w:tc>
      </w:tr>
    </w:tbl>
    <w:p w14:paraId="255007D6" w14:textId="77777777" w:rsidR="004108C3" w:rsidRPr="008423E4" w:rsidRDefault="004108C3" w:rsidP="00AC56C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7249" w14:textId="77777777" w:rsidR="00000000" w:rsidRDefault="00A17566">
      <w:r>
        <w:separator/>
      </w:r>
    </w:p>
  </w:endnote>
  <w:endnote w:type="continuationSeparator" w:id="0">
    <w:p w14:paraId="26C20F14" w14:textId="77777777" w:rsidR="00000000" w:rsidRDefault="00A1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0DD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271BE" w14:paraId="6479B63C" w14:textId="77777777" w:rsidTr="009C1E9A">
      <w:trPr>
        <w:cantSplit/>
      </w:trPr>
      <w:tc>
        <w:tcPr>
          <w:tcW w:w="0" w:type="pct"/>
        </w:tcPr>
        <w:p w14:paraId="71E470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CF3C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579D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4128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CE39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71BE" w14:paraId="4834CAC5" w14:textId="77777777" w:rsidTr="009C1E9A">
      <w:trPr>
        <w:cantSplit/>
      </w:trPr>
      <w:tc>
        <w:tcPr>
          <w:tcW w:w="0" w:type="pct"/>
        </w:tcPr>
        <w:p w14:paraId="2C5105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4DA478" w14:textId="4EFD9529" w:rsidR="00EC379B" w:rsidRPr="009C1E9A" w:rsidRDefault="00A1756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23829-D</w:t>
          </w:r>
        </w:p>
      </w:tc>
      <w:tc>
        <w:tcPr>
          <w:tcW w:w="2453" w:type="pct"/>
        </w:tcPr>
        <w:p w14:paraId="2CAB71AD" w14:textId="52CC96D6" w:rsidR="00EC379B" w:rsidRDefault="00A1756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5821">
            <w:t>23.105.669</w:t>
          </w:r>
          <w:r>
            <w:fldChar w:fldCharType="end"/>
          </w:r>
        </w:p>
      </w:tc>
    </w:tr>
    <w:tr w:rsidR="004271BE" w14:paraId="6BD01513" w14:textId="77777777" w:rsidTr="009C1E9A">
      <w:trPr>
        <w:cantSplit/>
      </w:trPr>
      <w:tc>
        <w:tcPr>
          <w:tcW w:w="0" w:type="pct"/>
        </w:tcPr>
        <w:p w14:paraId="2C53C8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2C791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2D95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DCD4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71BE" w14:paraId="7EE753E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C5620E" w14:textId="77777777" w:rsidR="00EC379B" w:rsidRDefault="00A1756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4F79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8AF8D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82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47B7" w14:textId="77777777" w:rsidR="00000000" w:rsidRDefault="00A17566">
      <w:r>
        <w:separator/>
      </w:r>
    </w:p>
  </w:footnote>
  <w:footnote w:type="continuationSeparator" w:id="0">
    <w:p w14:paraId="31463F5D" w14:textId="77777777" w:rsidR="00000000" w:rsidRDefault="00A1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D92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7B5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7DA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D7898"/>
    <w:multiLevelType w:val="hybridMultilevel"/>
    <w:tmpl w:val="5164F8B8"/>
    <w:lvl w:ilvl="0" w:tplc="112C0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4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0B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C9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E8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CC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E8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CA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C2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C6462"/>
    <w:multiLevelType w:val="hybridMultilevel"/>
    <w:tmpl w:val="93080A02"/>
    <w:lvl w:ilvl="0" w:tplc="F3745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8A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85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24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2D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61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04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AF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A3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766A6"/>
    <w:multiLevelType w:val="hybridMultilevel"/>
    <w:tmpl w:val="55D65A86"/>
    <w:lvl w:ilvl="0" w:tplc="BFD024F4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E912DC22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9080FF90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D23E3786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99A28AFE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ADF8A892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5DC0E4B2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1C86904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3B966B34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159536894">
    <w:abstractNumId w:val="2"/>
  </w:num>
  <w:num w:numId="2" w16cid:durableId="184709341">
    <w:abstractNumId w:val="0"/>
  </w:num>
  <w:num w:numId="3" w16cid:durableId="112696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1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71E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A6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5F9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0AF"/>
    <w:rsid w:val="00110F8C"/>
    <w:rsid w:val="0011274A"/>
    <w:rsid w:val="00113522"/>
    <w:rsid w:val="0011378D"/>
    <w:rsid w:val="00115EE9"/>
    <w:rsid w:val="001163AE"/>
    <w:rsid w:val="001169F9"/>
    <w:rsid w:val="00120797"/>
    <w:rsid w:val="001218D2"/>
    <w:rsid w:val="0012371B"/>
    <w:rsid w:val="00123F7F"/>
    <w:rsid w:val="001245C8"/>
    <w:rsid w:val="00124653"/>
    <w:rsid w:val="001247C5"/>
    <w:rsid w:val="00125C91"/>
    <w:rsid w:val="00126FD9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74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63B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DA2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D6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1B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98F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FB4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74B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176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F4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7B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7DB"/>
    <w:rsid w:val="00827749"/>
    <w:rsid w:val="00827B7E"/>
    <w:rsid w:val="00830EEB"/>
    <w:rsid w:val="008347A9"/>
    <w:rsid w:val="00835628"/>
    <w:rsid w:val="00835E90"/>
    <w:rsid w:val="00836FF8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57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553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F5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566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821"/>
    <w:rsid w:val="00A46902"/>
    <w:rsid w:val="00A50CDB"/>
    <w:rsid w:val="00A51F3E"/>
    <w:rsid w:val="00A5364B"/>
    <w:rsid w:val="00A54142"/>
    <w:rsid w:val="00A54C42"/>
    <w:rsid w:val="00A56C7A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D3D"/>
    <w:rsid w:val="00A8133F"/>
    <w:rsid w:val="00A82CB4"/>
    <w:rsid w:val="00A837A8"/>
    <w:rsid w:val="00A83C36"/>
    <w:rsid w:val="00A92A0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D67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6C5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24F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B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40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3A2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5702E2-2C4C-47A6-96D8-18D65D8F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62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6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62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624F"/>
    <w:rPr>
      <w:b/>
      <w:bCs/>
    </w:rPr>
  </w:style>
  <w:style w:type="paragraph" w:styleId="Revision">
    <w:name w:val="Revision"/>
    <w:hidden/>
    <w:uiPriority w:val="99"/>
    <w:semiHidden/>
    <w:rsid w:val="004B59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2041</Characters>
  <Application>Microsoft Office Word</Application>
  <DocSecurity>4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HB05183 (Committee Report (Unamended))</vt:lpstr>
    </vt:vector>
  </TitlesOfParts>
  <Company>State of Texas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23829</dc:subject>
  <dc:creator>State of Texas</dc:creator>
  <dc:description>HB 5183 by Guillen-(H)Corrections</dc:description>
  <cp:lastModifiedBy>Stacey Nicchio</cp:lastModifiedBy>
  <cp:revision>2</cp:revision>
  <cp:lastPrinted>2003-11-26T17:21:00Z</cp:lastPrinted>
  <dcterms:created xsi:type="dcterms:W3CDTF">2023-04-25T16:48:00Z</dcterms:created>
  <dcterms:modified xsi:type="dcterms:W3CDTF">2023-04-25T16:48:00Z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23.105.669</vt:lpwstr>
  </property>
</Properties>
</file>