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107AC" w14:paraId="37BB4184" w14:textId="77777777" w:rsidTr="00345119">
        <w:tc>
          <w:tcPr>
            <w:tcW w:w="9576" w:type="dxa"/>
            <w:noWrap/>
          </w:tcPr>
          <w:p w14:paraId="1678EA25" w14:textId="77777777" w:rsidR="008423E4" w:rsidRPr="0022177D" w:rsidRDefault="00B95A7E" w:rsidP="00F52FD4">
            <w:pPr>
              <w:pStyle w:val="Heading1"/>
            </w:pPr>
            <w:r w:rsidRPr="00631897">
              <w:t>BILL ANALYSIS</w:t>
            </w:r>
          </w:p>
        </w:tc>
      </w:tr>
    </w:tbl>
    <w:p w14:paraId="25CD4803" w14:textId="77777777" w:rsidR="008423E4" w:rsidRPr="0022177D" w:rsidRDefault="008423E4" w:rsidP="00F52FD4">
      <w:pPr>
        <w:jc w:val="center"/>
      </w:pPr>
    </w:p>
    <w:p w14:paraId="4F505383" w14:textId="77777777" w:rsidR="008423E4" w:rsidRPr="00B31F0E" w:rsidRDefault="008423E4" w:rsidP="00F52FD4"/>
    <w:p w14:paraId="57A099D0" w14:textId="77777777" w:rsidR="008423E4" w:rsidRPr="00742794" w:rsidRDefault="008423E4" w:rsidP="00F52FD4">
      <w:pPr>
        <w:tabs>
          <w:tab w:val="right" w:pos="9360"/>
        </w:tabs>
      </w:pPr>
    </w:p>
    <w:tbl>
      <w:tblPr>
        <w:tblW w:w="0" w:type="auto"/>
        <w:tblLayout w:type="fixed"/>
        <w:tblLook w:val="01E0" w:firstRow="1" w:lastRow="1" w:firstColumn="1" w:lastColumn="1" w:noHBand="0" w:noVBand="0"/>
      </w:tblPr>
      <w:tblGrid>
        <w:gridCol w:w="9576"/>
      </w:tblGrid>
      <w:tr w:rsidR="000107AC" w14:paraId="074FB9D2" w14:textId="77777777" w:rsidTr="00345119">
        <w:tc>
          <w:tcPr>
            <w:tcW w:w="9576" w:type="dxa"/>
          </w:tcPr>
          <w:p w14:paraId="47399681" w14:textId="64669417" w:rsidR="008423E4" w:rsidRPr="00861995" w:rsidRDefault="00B95A7E" w:rsidP="00F52FD4">
            <w:pPr>
              <w:jc w:val="right"/>
            </w:pPr>
            <w:r>
              <w:t>C.S.H.B. 5186</w:t>
            </w:r>
          </w:p>
        </w:tc>
      </w:tr>
      <w:tr w:rsidR="000107AC" w14:paraId="26526D12" w14:textId="77777777" w:rsidTr="00345119">
        <w:tc>
          <w:tcPr>
            <w:tcW w:w="9576" w:type="dxa"/>
          </w:tcPr>
          <w:p w14:paraId="1898506F" w14:textId="685A154B" w:rsidR="008423E4" w:rsidRPr="00861995" w:rsidRDefault="00B95A7E" w:rsidP="00F52FD4">
            <w:pPr>
              <w:jc w:val="right"/>
            </w:pPr>
            <w:r>
              <w:t xml:space="preserve">By: </w:t>
            </w:r>
            <w:r w:rsidR="00E93540">
              <w:t>Bonnen</w:t>
            </w:r>
          </w:p>
        </w:tc>
      </w:tr>
      <w:tr w:rsidR="000107AC" w14:paraId="7F4FF339" w14:textId="77777777" w:rsidTr="00345119">
        <w:tc>
          <w:tcPr>
            <w:tcW w:w="9576" w:type="dxa"/>
          </w:tcPr>
          <w:p w14:paraId="432F0E9A" w14:textId="4A0EE912" w:rsidR="008423E4" w:rsidRPr="00861995" w:rsidRDefault="00B95A7E" w:rsidP="00F52FD4">
            <w:pPr>
              <w:jc w:val="right"/>
            </w:pPr>
            <w:r>
              <w:t>Pensions, Investments &amp; Financial Services</w:t>
            </w:r>
          </w:p>
        </w:tc>
      </w:tr>
      <w:tr w:rsidR="000107AC" w14:paraId="6BA080ED" w14:textId="77777777" w:rsidTr="00345119">
        <w:tc>
          <w:tcPr>
            <w:tcW w:w="9576" w:type="dxa"/>
          </w:tcPr>
          <w:p w14:paraId="3932C446" w14:textId="5A328679" w:rsidR="008423E4" w:rsidRDefault="00B95A7E" w:rsidP="00F52FD4">
            <w:pPr>
              <w:jc w:val="right"/>
            </w:pPr>
            <w:r>
              <w:t>Committee Report (Substituted)</w:t>
            </w:r>
          </w:p>
        </w:tc>
      </w:tr>
    </w:tbl>
    <w:p w14:paraId="077EF997" w14:textId="77777777" w:rsidR="008423E4" w:rsidRDefault="008423E4" w:rsidP="00F52FD4">
      <w:pPr>
        <w:tabs>
          <w:tab w:val="right" w:pos="9360"/>
        </w:tabs>
      </w:pPr>
    </w:p>
    <w:p w14:paraId="2D39C224" w14:textId="77777777" w:rsidR="008423E4" w:rsidRDefault="008423E4" w:rsidP="00F52FD4"/>
    <w:p w14:paraId="1BD99FF8" w14:textId="77777777" w:rsidR="008423E4" w:rsidRDefault="008423E4" w:rsidP="00F52FD4"/>
    <w:tbl>
      <w:tblPr>
        <w:tblW w:w="0" w:type="auto"/>
        <w:tblCellMar>
          <w:left w:w="115" w:type="dxa"/>
          <w:right w:w="115" w:type="dxa"/>
        </w:tblCellMar>
        <w:tblLook w:val="01E0" w:firstRow="1" w:lastRow="1" w:firstColumn="1" w:lastColumn="1" w:noHBand="0" w:noVBand="0"/>
      </w:tblPr>
      <w:tblGrid>
        <w:gridCol w:w="9360"/>
      </w:tblGrid>
      <w:tr w:rsidR="000107AC" w14:paraId="376DB2B8" w14:textId="77777777" w:rsidTr="00345119">
        <w:tc>
          <w:tcPr>
            <w:tcW w:w="9576" w:type="dxa"/>
          </w:tcPr>
          <w:p w14:paraId="06DAAC1D" w14:textId="77777777" w:rsidR="008423E4" w:rsidRPr="00A8133F" w:rsidRDefault="00B95A7E" w:rsidP="00F52FD4">
            <w:pPr>
              <w:rPr>
                <w:b/>
              </w:rPr>
            </w:pPr>
            <w:r w:rsidRPr="009C1E9A">
              <w:rPr>
                <w:b/>
                <w:u w:val="single"/>
              </w:rPr>
              <w:t>BACKGROUND AND PURPOSE</w:t>
            </w:r>
            <w:r>
              <w:rPr>
                <w:b/>
              </w:rPr>
              <w:t xml:space="preserve"> </w:t>
            </w:r>
          </w:p>
          <w:p w14:paraId="0E097ECC" w14:textId="77777777" w:rsidR="008423E4" w:rsidRDefault="008423E4" w:rsidP="00F52FD4"/>
          <w:p w14:paraId="76E0CB2D" w14:textId="2BBCAB5D" w:rsidR="00287899" w:rsidRDefault="00B95A7E" w:rsidP="00F52FD4">
            <w:pPr>
              <w:pStyle w:val="Header"/>
              <w:tabs>
                <w:tab w:val="clear" w:pos="4320"/>
                <w:tab w:val="clear" w:pos="8640"/>
              </w:tabs>
              <w:jc w:val="both"/>
            </w:pPr>
            <w:r>
              <w:t>Health</w:t>
            </w:r>
            <w:r w:rsidR="009A612F">
              <w:t xml:space="preserve"> </w:t>
            </w:r>
            <w:r>
              <w:t xml:space="preserve">care costs across </w:t>
            </w:r>
            <w:r w:rsidR="00907511">
              <w:t>Texas</w:t>
            </w:r>
            <w:r>
              <w:t xml:space="preserve"> consistently escalate above anticipated medical trend indicators. Without any intervention, the cost to provide quality health coverage for Texas</w:t>
            </w:r>
            <w:r w:rsidR="009A612F">
              <w:t>'</w:t>
            </w:r>
            <w:r>
              <w:t xml:space="preserve"> state employees and teachers, both active and retired, will continue to strain financial resources of both t</w:t>
            </w:r>
            <w:r>
              <w:t>he state and its vital workforce. These cost increases consume valuable state revenue and will ultimately constrain the ability of future legislatures to appropriately address critical funding needs as they arise.</w:t>
            </w:r>
            <w:r w:rsidR="00907511">
              <w:t xml:space="preserve"> C.S.H.B.</w:t>
            </w:r>
            <w:r>
              <w:t xml:space="preserve"> 5186 </w:t>
            </w:r>
            <w:r w:rsidR="00907511">
              <w:t xml:space="preserve">seeks to provide cost savings and </w:t>
            </w:r>
            <w:r>
              <w:t>equalize payments received across similarly sized and situated hospital systems</w:t>
            </w:r>
            <w:r w:rsidR="006664C6">
              <w:t xml:space="preserve"> by creating the </w:t>
            </w:r>
            <w:r w:rsidR="006664C6" w:rsidRPr="006664C6">
              <w:t>state health benefit plan reimbursement review board</w:t>
            </w:r>
            <w:r w:rsidR="006664C6">
              <w:t xml:space="preserve"> charged with adopting a reimbursement structure for services or supplies provided to certain plan enrollees by a facility</w:t>
            </w:r>
            <w:r>
              <w:t>,</w:t>
            </w:r>
            <w:r w:rsidR="006664C6">
              <w:t xml:space="preserve"> thus</w:t>
            </w:r>
            <w:r>
              <w:t xml:space="preserve"> ensuring the </w:t>
            </w:r>
            <w:r w:rsidR="00907511">
              <w:t>cost charged</w:t>
            </w:r>
            <w:r>
              <w:t xml:space="preserve"> to the state, and ultimately</w:t>
            </w:r>
            <w:r w:rsidR="00907511">
              <w:t xml:space="preserve"> to</w:t>
            </w:r>
            <w:r>
              <w:t xml:space="preserve"> taxpayers, for state employee health care is not artificially inflated. </w:t>
            </w:r>
          </w:p>
          <w:p w14:paraId="7222ADAD" w14:textId="77777777" w:rsidR="008423E4" w:rsidRPr="00E26B13" w:rsidRDefault="008423E4" w:rsidP="00F52FD4">
            <w:pPr>
              <w:rPr>
                <w:b/>
              </w:rPr>
            </w:pPr>
          </w:p>
        </w:tc>
      </w:tr>
      <w:tr w:rsidR="000107AC" w14:paraId="44D5448C" w14:textId="77777777" w:rsidTr="00345119">
        <w:tc>
          <w:tcPr>
            <w:tcW w:w="9576" w:type="dxa"/>
          </w:tcPr>
          <w:p w14:paraId="066E13D7" w14:textId="77777777" w:rsidR="0017725B" w:rsidRDefault="00B95A7E" w:rsidP="00F52FD4">
            <w:pPr>
              <w:rPr>
                <w:b/>
                <w:u w:val="single"/>
              </w:rPr>
            </w:pPr>
            <w:r>
              <w:rPr>
                <w:b/>
                <w:u w:val="single"/>
              </w:rPr>
              <w:t>CRIMINAL JUSTICE IMPACT</w:t>
            </w:r>
          </w:p>
          <w:p w14:paraId="47FBCE29" w14:textId="77777777" w:rsidR="0017725B" w:rsidRDefault="0017725B" w:rsidP="00F52FD4">
            <w:pPr>
              <w:rPr>
                <w:b/>
                <w:u w:val="single"/>
              </w:rPr>
            </w:pPr>
          </w:p>
          <w:p w14:paraId="6D45D002" w14:textId="2A49D570" w:rsidR="004472D8" w:rsidRPr="004472D8" w:rsidRDefault="00B95A7E" w:rsidP="00F52FD4">
            <w:pPr>
              <w:jc w:val="both"/>
            </w:pPr>
            <w:r>
              <w:t xml:space="preserve">It is the committee's opinion that this bill does not expressly create </w:t>
            </w:r>
            <w:r>
              <w:t>a criminal offense, increase the punishment for an existing criminal offense or category of offenses, or change the eligibility of a person for community supervision, parole, or mandatory supervision.</w:t>
            </w:r>
          </w:p>
          <w:p w14:paraId="60F57D50" w14:textId="77777777" w:rsidR="0017725B" w:rsidRPr="0017725B" w:rsidRDefault="0017725B" w:rsidP="00F52FD4">
            <w:pPr>
              <w:rPr>
                <w:b/>
                <w:u w:val="single"/>
              </w:rPr>
            </w:pPr>
          </w:p>
        </w:tc>
      </w:tr>
      <w:tr w:rsidR="000107AC" w14:paraId="507BF60F" w14:textId="77777777" w:rsidTr="00345119">
        <w:tc>
          <w:tcPr>
            <w:tcW w:w="9576" w:type="dxa"/>
          </w:tcPr>
          <w:p w14:paraId="44B38A92" w14:textId="77777777" w:rsidR="008423E4" w:rsidRPr="00A8133F" w:rsidRDefault="00B95A7E" w:rsidP="00F52FD4">
            <w:pPr>
              <w:rPr>
                <w:b/>
              </w:rPr>
            </w:pPr>
            <w:r w:rsidRPr="009C1E9A">
              <w:rPr>
                <w:b/>
                <w:u w:val="single"/>
              </w:rPr>
              <w:t>RULEMAKING AUTHORITY</w:t>
            </w:r>
            <w:r>
              <w:rPr>
                <w:b/>
              </w:rPr>
              <w:t xml:space="preserve"> </w:t>
            </w:r>
          </w:p>
          <w:p w14:paraId="36D7E978" w14:textId="77777777" w:rsidR="008423E4" w:rsidRDefault="008423E4" w:rsidP="00F52FD4"/>
          <w:p w14:paraId="52125E72" w14:textId="25BE19FA" w:rsidR="004472D8" w:rsidRDefault="00B95A7E" w:rsidP="00F52FD4">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14:paraId="5277942A" w14:textId="77777777" w:rsidR="008423E4" w:rsidRPr="00E21FDC" w:rsidRDefault="008423E4" w:rsidP="00F52FD4">
            <w:pPr>
              <w:rPr>
                <w:b/>
              </w:rPr>
            </w:pPr>
          </w:p>
        </w:tc>
      </w:tr>
      <w:tr w:rsidR="000107AC" w14:paraId="145D33D6" w14:textId="77777777" w:rsidTr="00345119">
        <w:tc>
          <w:tcPr>
            <w:tcW w:w="9576" w:type="dxa"/>
          </w:tcPr>
          <w:p w14:paraId="3E9B7F62" w14:textId="77777777" w:rsidR="008423E4" w:rsidRPr="00A8133F" w:rsidRDefault="00B95A7E" w:rsidP="00F52FD4">
            <w:pPr>
              <w:rPr>
                <w:b/>
              </w:rPr>
            </w:pPr>
            <w:r w:rsidRPr="009C1E9A">
              <w:rPr>
                <w:b/>
                <w:u w:val="single"/>
              </w:rPr>
              <w:t>ANALYSIS</w:t>
            </w:r>
            <w:r>
              <w:rPr>
                <w:b/>
              </w:rPr>
              <w:t xml:space="preserve"> </w:t>
            </w:r>
          </w:p>
          <w:p w14:paraId="6E729596" w14:textId="77777777" w:rsidR="008423E4" w:rsidRDefault="008423E4" w:rsidP="00F52FD4"/>
          <w:p w14:paraId="15F6088D" w14:textId="53676BCC" w:rsidR="00497BCC" w:rsidRDefault="00B95A7E" w:rsidP="00F52FD4">
            <w:pPr>
              <w:pStyle w:val="Header"/>
              <w:jc w:val="both"/>
            </w:pPr>
            <w:r>
              <w:t>C.S.H.B. 5186 amends the Government Code to establish t</w:t>
            </w:r>
            <w:r w:rsidRPr="00056B1A">
              <w:t>he state health benefit plan reimbursement review board for the purpose of controlling present and future cost growth for state health benefit plans while maintaining access for enrollees to high-quality health care services and supplies.</w:t>
            </w:r>
            <w:r>
              <w:t xml:space="preserve"> The bill establis</w:t>
            </w:r>
            <w:r>
              <w:t xml:space="preserve">hes that the </w:t>
            </w:r>
            <w:r w:rsidRPr="00CE2831">
              <w:t>board</w:t>
            </w:r>
            <w:r>
              <w:t xml:space="preserve"> consists of the lieutenant governor, the speaker of the house of representatives, the chair of the senate finance committee, the chair of the house appropriations committee, three members of the senate appointed by the lieutenant governo</w:t>
            </w:r>
            <w:r>
              <w:t>r, and three members of the house appointed by the speaker. The bill designates t</w:t>
            </w:r>
            <w:r w:rsidRPr="00CE2831">
              <w:t xml:space="preserve">he lieutenant governor and the speaker of the house of representatives </w:t>
            </w:r>
            <w:r>
              <w:t>as</w:t>
            </w:r>
            <w:r w:rsidRPr="00CE2831">
              <w:t xml:space="preserve"> joint chairs of the board</w:t>
            </w:r>
            <w:r w:rsidR="00950ED2">
              <w:t xml:space="preserve"> and establishes that the board must meet as often as necessary to perform the board's duties and that meetings may be held at any time at the request of either of the joint chairs</w:t>
            </w:r>
            <w:r w:rsidRPr="00CE2831">
              <w:t>.</w:t>
            </w:r>
            <w:r>
              <w:t xml:space="preserve"> The bill sets out the following provisions with respect to board meetings: </w:t>
            </w:r>
          </w:p>
          <w:p w14:paraId="66FD9B3F" w14:textId="6D37FEAD" w:rsidR="00950ED2" w:rsidRDefault="00B95A7E" w:rsidP="00F52FD4">
            <w:pPr>
              <w:pStyle w:val="Header"/>
              <w:numPr>
                <w:ilvl w:val="0"/>
                <w:numId w:val="5"/>
              </w:numPr>
              <w:jc w:val="both"/>
            </w:pPr>
            <w:r>
              <w:t>a majority of the members of the board from each house constitutes a quoru</w:t>
            </w:r>
            <w:r>
              <w:t xml:space="preserve">m to transact business, which allows the board to act on any matter that is within its jurisdiction by a majority </w:t>
            </w:r>
            <w:r w:rsidR="00040E8D">
              <w:t>vote</w:t>
            </w:r>
            <w:r>
              <w:t>;</w:t>
            </w:r>
          </w:p>
          <w:p w14:paraId="2A5D495F" w14:textId="169B8302" w:rsidR="00802A80" w:rsidRDefault="00B95A7E" w:rsidP="00F52FD4">
            <w:pPr>
              <w:pStyle w:val="Header"/>
              <w:numPr>
                <w:ilvl w:val="0"/>
                <w:numId w:val="5"/>
              </w:numPr>
              <w:jc w:val="both"/>
            </w:pPr>
            <w:r>
              <w:t>the board must meet in Austin, but the board may meet in any location determined by agreement among the majority of board members from e</w:t>
            </w:r>
            <w:r>
              <w:t>ach house;</w:t>
            </w:r>
          </w:p>
          <w:p w14:paraId="4FBB2335" w14:textId="11DA4953" w:rsidR="00497BCC" w:rsidRDefault="00B95A7E" w:rsidP="00F52FD4">
            <w:pPr>
              <w:pStyle w:val="Header"/>
              <w:numPr>
                <w:ilvl w:val="0"/>
                <w:numId w:val="5"/>
              </w:numPr>
              <w:jc w:val="both"/>
            </w:pPr>
            <w:r>
              <w:t xml:space="preserve">as an exception to state open meetings law and other law, </w:t>
            </w:r>
            <w:r w:rsidRPr="00497BCC">
              <w:t xml:space="preserve">any number of </w:t>
            </w:r>
            <w:r>
              <w:t>board</w:t>
            </w:r>
            <w:r w:rsidRPr="00497BCC">
              <w:t xml:space="preserve"> members may attend the meeting by use of telephone conference call, video conference call, or other similar telecommunication device</w:t>
            </w:r>
            <w:r>
              <w:t xml:space="preserve"> so long as the joint chairs of the</w:t>
            </w:r>
            <w:r>
              <w:t xml:space="preserve"> board are physically present at a meeting located in Austin;</w:t>
            </w:r>
          </w:p>
          <w:p w14:paraId="7E3BA374" w14:textId="419F55E3" w:rsidR="00497BCC" w:rsidRDefault="00B95A7E" w:rsidP="00F52FD4">
            <w:pPr>
              <w:pStyle w:val="Header"/>
              <w:numPr>
                <w:ilvl w:val="0"/>
                <w:numId w:val="5"/>
              </w:numPr>
              <w:jc w:val="both"/>
            </w:pPr>
            <w:r>
              <w:t>that exception applies, without regard to the subject of the meeting or topics considered by the members</w:t>
            </w:r>
            <w:r w:rsidR="00950ED2">
              <w:t xml:space="preserve"> and</w:t>
            </w:r>
            <w:r>
              <w:t xml:space="preserve"> for </w:t>
            </w:r>
            <w:r w:rsidRPr="00716C93">
              <w:t xml:space="preserve">purposes of constituting a quorum, voting, and any other purpose allowing a </w:t>
            </w:r>
            <w:r>
              <w:t>board</w:t>
            </w:r>
            <w:r>
              <w:t xml:space="preserve"> </w:t>
            </w:r>
            <w:r w:rsidRPr="00716C93">
              <w:t xml:space="preserve">member to otherwise fully participate in any </w:t>
            </w:r>
            <w:r>
              <w:t xml:space="preserve">board </w:t>
            </w:r>
            <w:r w:rsidRPr="00716C93">
              <w:t>meeting</w:t>
            </w:r>
            <w:r>
              <w:t>; and</w:t>
            </w:r>
          </w:p>
          <w:p w14:paraId="681FD44B" w14:textId="592DA83F" w:rsidR="00716C93" w:rsidRDefault="00B95A7E" w:rsidP="00F52FD4">
            <w:pPr>
              <w:pStyle w:val="Header"/>
              <w:numPr>
                <w:ilvl w:val="0"/>
                <w:numId w:val="5"/>
              </w:numPr>
              <w:jc w:val="both"/>
            </w:pPr>
            <w:r>
              <w:t xml:space="preserve">provides requirements applicable to a meeting </w:t>
            </w:r>
            <w:r w:rsidRPr="00716C93">
              <w:t>held by use of telephone conference call, video conference call, or other similar telecommunication device</w:t>
            </w:r>
            <w:r>
              <w:t>.</w:t>
            </w:r>
          </w:p>
          <w:p w14:paraId="57D49A27" w14:textId="77777777" w:rsidR="00802A80" w:rsidRDefault="00802A80" w:rsidP="00F52FD4">
            <w:pPr>
              <w:pStyle w:val="Header"/>
              <w:jc w:val="both"/>
            </w:pPr>
          </w:p>
          <w:p w14:paraId="57A78471" w14:textId="18AECB12" w:rsidR="00C71845" w:rsidRDefault="00B95A7E" w:rsidP="00F52FD4">
            <w:pPr>
              <w:pStyle w:val="Header"/>
              <w:jc w:val="both"/>
            </w:pPr>
            <w:r>
              <w:t xml:space="preserve">C.S.H.B. 5186 requires the board to </w:t>
            </w:r>
            <w:r w:rsidRPr="00B81578">
              <w:t xml:space="preserve">adopt a provider reimbursement structure, regardless of methodology, that each </w:t>
            </w:r>
            <w:r w:rsidR="00DB21FF">
              <w:t xml:space="preserve">applicable </w:t>
            </w:r>
            <w:r w:rsidRPr="00B81578">
              <w:t>state health benefit plan will use to determine reimbursement to a facility for a health care service or supply, determined by provider type and class and according t</w:t>
            </w:r>
            <w:r w:rsidRPr="00B81578">
              <w:t>o whether the facility is an in-network or out-of-network facility.</w:t>
            </w:r>
            <w:r>
              <w:t xml:space="preserve"> </w:t>
            </w:r>
            <w:r w:rsidR="00DB21FF">
              <w:t xml:space="preserve">The bill makes that requirement applicable with respect to </w:t>
            </w:r>
            <w:r>
              <w:t>a health benefit plan provided under the following</w:t>
            </w:r>
            <w:r w:rsidR="00040E8D">
              <w:t>:</w:t>
            </w:r>
          </w:p>
          <w:p w14:paraId="761FA8DF" w14:textId="4CB950BB" w:rsidR="00C71845" w:rsidRDefault="00B95A7E" w:rsidP="00F52FD4">
            <w:pPr>
              <w:pStyle w:val="Header"/>
              <w:numPr>
                <w:ilvl w:val="0"/>
                <w:numId w:val="10"/>
              </w:numPr>
              <w:jc w:val="both"/>
            </w:pPr>
            <w:r w:rsidRPr="00C71845">
              <w:t>the Texas Employees Group Benefits Act</w:t>
            </w:r>
            <w:r>
              <w:t>;</w:t>
            </w:r>
          </w:p>
          <w:p w14:paraId="7C5AF5C3" w14:textId="4FE6630F" w:rsidR="00C71845" w:rsidRDefault="00B95A7E" w:rsidP="00F52FD4">
            <w:pPr>
              <w:pStyle w:val="Header"/>
              <w:numPr>
                <w:ilvl w:val="0"/>
                <w:numId w:val="10"/>
              </w:numPr>
              <w:jc w:val="both"/>
            </w:pPr>
            <w:r>
              <w:t xml:space="preserve">the </w:t>
            </w:r>
            <w:r w:rsidRPr="00C71845">
              <w:t xml:space="preserve">Public School Retired </w:t>
            </w:r>
            <w:r w:rsidRPr="00C71845">
              <w:t>Employees Group Benefits Act</w:t>
            </w:r>
          </w:p>
          <w:p w14:paraId="46233608" w14:textId="5AAE8321" w:rsidR="00C71845" w:rsidRDefault="00B95A7E" w:rsidP="00F52FD4">
            <w:pPr>
              <w:pStyle w:val="Header"/>
              <w:numPr>
                <w:ilvl w:val="0"/>
                <w:numId w:val="10"/>
              </w:numPr>
              <w:jc w:val="both"/>
            </w:pPr>
            <w:r>
              <w:t xml:space="preserve">the </w:t>
            </w:r>
            <w:r w:rsidRPr="00C71845">
              <w:t>Texas School Employees Uniform Group Health Coverage Act</w:t>
            </w:r>
            <w:r>
              <w:t>; and</w:t>
            </w:r>
          </w:p>
          <w:p w14:paraId="3D08945C" w14:textId="4E860E18" w:rsidR="00C71845" w:rsidRDefault="00B95A7E" w:rsidP="00F52FD4">
            <w:pPr>
              <w:pStyle w:val="Header"/>
              <w:numPr>
                <w:ilvl w:val="0"/>
                <w:numId w:val="10"/>
              </w:numPr>
              <w:jc w:val="both"/>
            </w:pPr>
            <w:r>
              <w:t>the S</w:t>
            </w:r>
            <w:r w:rsidRPr="00C71845">
              <w:t>tate University Employees Uniform Insurance Benefits Act</w:t>
            </w:r>
            <w:r>
              <w:t>.</w:t>
            </w:r>
          </w:p>
          <w:p w14:paraId="4411FB8D" w14:textId="2C50C66D" w:rsidR="00DB21FF" w:rsidRDefault="00B95A7E" w:rsidP="00F52FD4">
            <w:pPr>
              <w:pStyle w:val="Header"/>
              <w:jc w:val="both"/>
            </w:pPr>
            <w:r>
              <w:t>The bill defines "facility" as the following:</w:t>
            </w:r>
          </w:p>
          <w:p w14:paraId="0B162881" w14:textId="6DF54869" w:rsidR="00DB21FF" w:rsidRDefault="00B95A7E" w:rsidP="00F52FD4">
            <w:pPr>
              <w:pStyle w:val="Header"/>
              <w:numPr>
                <w:ilvl w:val="0"/>
                <w:numId w:val="6"/>
              </w:numPr>
              <w:jc w:val="both"/>
            </w:pPr>
            <w:r>
              <w:t>a hospital</w:t>
            </w:r>
            <w:r w:rsidR="00190591">
              <w:t>;</w:t>
            </w:r>
          </w:p>
          <w:p w14:paraId="5D4B524B" w14:textId="65DDC676" w:rsidR="00DB21FF" w:rsidRDefault="00B95A7E" w:rsidP="00F52FD4">
            <w:pPr>
              <w:pStyle w:val="Header"/>
              <w:numPr>
                <w:ilvl w:val="0"/>
                <w:numId w:val="6"/>
              </w:numPr>
              <w:jc w:val="both"/>
            </w:pPr>
            <w:r>
              <w:t>a licensed ambulatory surgical center</w:t>
            </w:r>
            <w:r w:rsidR="00190591">
              <w:t>;</w:t>
            </w:r>
          </w:p>
          <w:p w14:paraId="4DE74CA4" w14:textId="2B40230C" w:rsidR="00DB21FF" w:rsidRDefault="00B95A7E" w:rsidP="00F52FD4">
            <w:pPr>
              <w:pStyle w:val="Header"/>
              <w:numPr>
                <w:ilvl w:val="0"/>
                <w:numId w:val="6"/>
              </w:numPr>
              <w:jc w:val="both"/>
            </w:pPr>
            <w:r>
              <w:t>a</w:t>
            </w:r>
            <w:r>
              <w:t xml:space="preserve"> birthing center; or</w:t>
            </w:r>
          </w:p>
          <w:p w14:paraId="568D4D03" w14:textId="3FEB8F88" w:rsidR="00DB21FF" w:rsidRDefault="00B95A7E" w:rsidP="00F52FD4">
            <w:pPr>
              <w:pStyle w:val="Header"/>
              <w:numPr>
                <w:ilvl w:val="0"/>
                <w:numId w:val="6"/>
              </w:numPr>
              <w:jc w:val="both"/>
            </w:pPr>
            <w:r>
              <w:t xml:space="preserve">a freestanding emergency medical care facility, including </w:t>
            </w:r>
            <w:r w:rsidR="00190591">
              <w:t>such a facility that is exempt from certain licensing requirements.</w:t>
            </w:r>
          </w:p>
          <w:p w14:paraId="122A9F71" w14:textId="357A0B7B" w:rsidR="00802A80" w:rsidRDefault="00B95A7E" w:rsidP="00F52FD4">
            <w:pPr>
              <w:pStyle w:val="Header"/>
              <w:jc w:val="both"/>
            </w:pPr>
            <w:r>
              <w:t xml:space="preserve">The bill prohibits the board from </w:t>
            </w:r>
            <w:r w:rsidRPr="00B81578">
              <w:t>adopt</w:t>
            </w:r>
            <w:r w:rsidR="00673582">
              <w:t>ing</w:t>
            </w:r>
            <w:r w:rsidRPr="00B81578">
              <w:t xml:space="preserve"> a reimbursement structure that is in excess of the aggregated prov</w:t>
            </w:r>
            <w:r w:rsidRPr="00B81578">
              <w:t>ider reimbursement, regardless of methodology, reported by participating state health benefit plans</w:t>
            </w:r>
            <w:r w:rsidR="005F7290">
              <w:t xml:space="preserve"> under the bill's provisions</w:t>
            </w:r>
            <w:r w:rsidRPr="00B81578">
              <w:t xml:space="preserve"> for that health care service or supply.</w:t>
            </w:r>
            <w:r>
              <w:t xml:space="preserve"> </w:t>
            </w:r>
          </w:p>
          <w:p w14:paraId="08335A4A" w14:textId="77777777" w:rsidR="00802A80" w:rsidRDefault="00802A80" w:rsidP="00F52FD4">
            <w:pPr>
              <w:pStyle w:val="Header"/>
              <w:jc w:val="both"/>
            </w:pPr>
          </w:p>
          <w:p w14:paraId="7363984C" w14:textId="24182285" w:rsidR="00190591" w:rsidRDefault="00B95A7E" w:rsidP="00F52FD4">
            <w:pPr>
              <w:pStyle w:val="Header"/>
              <w:jc w:val="both"/>
            </w:pPr>
            <w:r>
              <w:t>C.S.H.B. 5186 requires e</w:t>
            </w:r>
            <w:r w:rsidRPr="001512C4">
              <w:t xml:space="preserve">ach </w:t>
            </w:r>
            <w:r>
              <w:t xml:space="preserve">applicable </w:t>
            </w:r>
            <w:r w:rsidRPr="001512C4">
              <w:t xml:space="preserve">state health benefit plan </w:t>
            </w:r>
            <w:r>
              <w:t>to submit to the boar</w:t>
            </w:r>
            <w:r>
              <w:t>d, in the form and manner prescribed by the board</w:t>
            </w:r>
            <w:r w:rsidR="00D72211">
              <w:t xml:space="preserve"> and after allowing for public comment</w:t>
            </w:r>
            <w:r>
              <w:t xml:space="preserve">, a report that includes the following: </w:t>
            </w:r>
          </w:p>
          <w:p w14:paraId="7ADD376C" w14:textId="31D8FEDE" w:rsidR="00190591" w:rsidRDefault="00B95A7E" w:rsidP="00F52FD4">
            <w:pPr>
              <w:pStyle w:val="Header"/>
              <w:numPr>
                <w:ilvl w:val="0"/>
                <w:numId w:val="7"/>
              </w:numPr>
              <w:jc w:val="both"/>
            </w:pPr>
            <w:r>
              <w:t xml:space="preserve">information on reimbursements and costs for applicable provider types and classes paid by that plan during the </w:t>
            </w:r>
            <w:r>
              <w:t xml:space="preserve">preceding plan year; </w:t>
            </w:r>
          </w:p>
          <w:p w14:paraId="34982921" w14:textId="6CB6581F" w:rsidR="00190591" w:rsidRDefault="00B95A7E" w:rsidP="00F52FD4">
            <w:pPr>
              <w:pStyle w:val="Header"/>
              <w:numPr>
                <w:ilvl w:val="0"/>
                <w:numId w:val="7"/>
              </w:numPr>
              <w:jc w:val="both"/>
            </w:pPr>
            <w:r>
              <w:t xml:space="preserve">recommendations to the board regarding the provider reimbursement structure to be adopted by the board; and </w:t>
            </w:r>
          </w:p>
          <w:p w14:paraId="0A13FC2F" w14:textId="77777777" w:rsidR="00190591" w:rsidRDefault="00B95A7E" w:rsidP="00F52FD4">
            <w:pPr>
              <w:pStyle w:val="Header"/>
              <w:numPr>
                <w:ilvl w:val="0"/>
                <w:numId w:val="7"/>
              </w:numPr>
              <w:jc w:val="both"/>
            </w:pPr>
            <w:r>
              <w:t xml:space="preserve">a summary of public comments received by the plan on the recommendations provided to the board. </w:t>
            </w:r>
          </w:p>
          <w:p w14:paraId="2ED5934F" w14:textId="6A0472BA" w:rsidR="00802A80" w:rsidRDefault="00B95A7E" w:rsidP="00F52FD4">
            <w:pPr>
              <w:pStyle w:val="Header"/>
              <w:jc w:val="both"/>
            </w:pPr>
            <w:r>
              <w:t xml:space="preserve">The bill requires the board </w:t>
            </w:r>
            <w:r>
              <w:t xml:space="preserve">to </w:t>
            </w:r>
            <w:r w:rsidRPr="001512C4">
              <w:t xml:space="preserve">analyze the </w:t>
            </w:r>
            <w:r>
              <w:t xml:space="preserve">submitted </w:t>
            </w:r>
            <w:r w:rsidRPr="001512C4">
              <w:t>reports</w:t>
            </w:r>
            <w:r w:rsidR="00D72211">
              <w:t>,</w:t>
            </w:r>
            <w:r w:rsidRPr="001512C4">
              <w:t xml:space="preserve"> including the recommendations provided, and issue a report on the reimbursement structure for state health benefit plans</w:t>
            </w:r>
            <w:r>
              <w:t xml:space="preserve"> that </w:t>
            </w:r>
            <w:r w:rsidRPr="001512C4">
              <w:t>is applicable to a state health benefit plan for each plan year beginning after the date the rep</w:t>
            </w:r>
            <w:r w:rsidRPr="001512C4">
              <w:t>ort is issued until the plan year beginning after the date a later report is issued</w:t>
            </w:r>
            <w:r>
              <w:t>.</w:t>
            </w:r>
            <w:r w:rsidR="005B4E35">
              <w:t xml:space="preserve"> The bill requires the board's report to specify that applicability, establish the reimbursement structure in accordance with the bill's provisions</w:t>
            </w:r>
            <w:r w:rsidR="00040E8D">
              <w:t>,</w:t>
            </w:r>
            <w:r w:rsidR="005B4E35">
              <w:t xml:space="preserve"> and be made publicly available on a website.</w:t>
            </w:r>
          </w:p>
          <w:p w14:paraId="3E3CF19F" w14:textId="77777777" w:rsidR="00802A80" w:rsidRDefault="00802A80" w:rsidP="00F52FD4">
            <w:pPr>
              <w:pStyle w:val="Header"/>
              <w:jc w:val="both"/>
            </w:pPr>
          </w:p>
          <w:p w14:paraId="259AB20F" w14:textId="59AC2A2F" w:rsidR="009B26DC" w:rsidRDefault="00B95A7E" w:rsidP="00F52FD4">
            <w:pPr>
              <w:pStyle w:val="Header"/>
              <w:jc w:val="both"/>
            </w:pPr>
            <w:r>
              <w:t>C.S.</w:t>
            </w:r>
            <w:r w:rsidR="00BC0364">
              <w:t xml:space="preserve">H.B. 5186 </w:t>
            </w:r>
            <w:r w:rsidR="00056B1A">
              <w:t xml:space="preserve">amends the </w:t>
            </w:r>
            <w:r w:rsidR="000E5448">
              <w:t>Insurance Code to require a</w:t>
            </w:r>
            <w:r w:rsidR="00C71845">
              <w:t>n applicable</w:t>
            </w:r>
            <w:r w:rsidR="000E5448">
              <w:t xml:space="preserve"> facility</w:t>
            </w:r>
            <w:r w:rsidR="00C71845">
              <w:t xml:space="preserve"> </w:t>
            </w:r>
            <w:r w:rsidR="000E5448" w:rsidRPr="000E5448">
              <w:t xml:space="preserve">that bills </w:t>
            </w:r>
            <w:r>
              <w:t xml:space="preserve">the following </w:t>
            </w:r>
            <w:r w:rsidRPr="009B26DC">
              <w:t xml:space="preserve">for a health care service or supply </w:t>
            </w:r>
            <w:r w:rsidR="000E5448" w:rsidRPr="000E5448">
              <w:t>provided to a</w:t>
            </w:r>
            <w:r w:rsidR="004A33EE">
              <w:t>n applicable</w:t>
            </w:r>
            <w:r w:rsidR="000E5448" w:rsidRPr="000E5448">
              <w:t xml:space="preserve"> plan enrollee </w:t>
            </w:r>
            <w:r w:rsidR="000E5448">
              <w:t>to</w:t>
            </w:r>
            <w:r w:rsidR="000E5448" w:rsidRPr="000E5448">
              <w:t xml:space="preserve"> be reimbursed for the health care service or supply in accordance with the reimbursement structure adopted for the service or supply by the </w:t>
            </w:r>
            <w:r w:rsidR="000E5448" w:rsidRPr="00056B1A">
              <w:t xml:space="preserve">state health benefit plan reimbursement review board </w:t>
            </w:r>
            <w:r w:rsidR="000E5448" w:rsidRPr="000E5448">
              <w:t>for the applicable plan year</w:t>
            </w:r>
            <w:r>
              <w:t>:</w:t>
            </w:r>
          </w:p>
          <w:p w14:paraId="7390FB7B" w14:textId="42928117" w:rsidR="009B26DC" w:rsidRDefault="00B95A7E" w:rsidP="00F52FD4">
            <w:pPr>
              <w:pStyle w:val="Header"/>
              <w:numPr>
                <w:ilvl w:val="0"/>
                <w:numId w:val="4"/>
              </w:numPr>
              <w:jc w:val="both"/>
            </w:pPr>
            <w:r>
              <w:t>t</w:t>
            </w:r>
            <w:r w:rsidR="00F91F27">
              <w:t xml:space="preserve">he </w:t>
            </w:r>
            <w:r>
              <w:t xml:space="preserve">state employees </w:t>
            </w:r>
            <w:r w:rsidR="00F91F27">
              <w:t xml:space="preserve">group </w:t>
            </w:r>
            <w:r>
              <w:t>benefi</w:t>
            </w:r>
            <w:r>
              <w:t xml:space="preserve">ts </w:t>
            </w:r>
            <w:r w:rsidR="00F91F27">
              <w:t xml:space="preserve">program, </w:t>
            </w:r>
            <w:r w:rsidR="00F91F27" w:rsidRPr="00F91F27">
              <w:t xml:space="preserve">an administering firm, or a health benefit plan provided </w:t>
            </w:r>
            <w:r>
              <w:t>under</w:t>
            </w:r>
            <w:r w:rsidR="00F91F27">
              <w:t xml:space="preserve"> the </w:t>
            </w:r>
            <w:r w:rsidR="00F91F27" w:rsidRPr="00F91F27">
              <w:t>Texas Employees Group Benefits Act</w:t>
            </w:r>
            <w:r>
              <w:t xml:space="preserve">, </w:t>
            </w:r>
            <w:r w:rsidRPr="004A33EE">
              <w:t>or a designee of the program, firm, or plan</w:t>
            </w:r>
            <w:r w:rsidR="00F91F27">
              <w:t>;</w:t>
            </w:r>
          </w:p>
          <w:p w14:paraId="3BAA4869" w14:textId="056D18CB" w:rsidR="00F91F27" w:rsidRDefault="00B95A7E" w:rsidP="00F52FD4">
            <w:pPr>
              <w:pStyle w:val="Header"/>
              <w:numPr>
                <w:ilvl w:val="0"/>
                <w:numId w:val="4"/>
              </w:numPr>
              <w:jc w:val="both"/>
            </w:pPr>
            <w:r>
              <w:t>t</w:t>
            </w:r>
            <w:r w:rsidRPr="00F91F27">
              <w:t xml:space="preserve">he </w:t>
            </w:r>
            <w:r>
              <w:t xml:space="preserve">Texas </w:t>
            </w:r>
            <w:r w:rsidR="0097513E">
              <w:t>p</w:t>
            </w:r>
            <w:r>
              <w:t xml:space="preserve">ublic </w:t>
            </w:r>
            <w:r w:rsidR="0097513E">
              <w:t>s</w:t>
            </w:r>
            <w:r>
              <w:t xml:space="preserve">chool </w:t>
            </w:r>
            <w:r w:rsidR="0097513E">
              <w:t>e</w:t>
            </w:r>
            <w:r>
              <w:t xml:space="preserve">mployees </w:t>
            </w:r>
            <w:r w:rsidRPr="00F91F27">
              <w:t xml:space="preserve">group program, </w:t>
            </w:r>
            <w:r w:rsidR="0097513E">
              <w:t xml:space="preserve">a health benefit plan or </w:t>
            </w:r>
            <w:r w:rsidRPr="00F91F27">
              <w:t xml:space="preserve">an administrator of a </w:t>
            </w:r>
            <w:r w:rsidRPr="00F91F27">
              <w:t xml:space="preserve">health benefit plan provided </w:t>
            </w:r>
            <w:r>
              <w:t xml:space="preserve">under the </w:t>
            </w:r>
            <w:r w:rsidRPr="00F91F27">
              <w:t>Texas Public School Retired Employees Group Benefits Act</w:t>
            </w:r>
            <w:r>
              <w:t xml:space="preserve">, </w:t>
            </w:r>
            <w:r w:rsidR="0097513E" w:rsidRPr="0097513E">
              <w:t>or a designee of the program, administrator, or plan</w:t>
            </w:r>
            <w:r>
              <w:t>;</w:t>
            </w:r>
          </w:p>
          <w:p w14:paraId="3B7F1FC1" w14:textId="455CD187" w:rsidR="00F91F27" w:rsidRDefault="00B95A7E" w:rsidP="00F52FD4">
            <w:pPr>
              <w:pStyle w:val="Header"/>
              <w:numPr>
                <w:ilvl w:val="0"/>
                <w:numId w:val="4"/>
              </w:numPr>
              <w:jc w:val="both"/>
            </w:pPr>
            <w:r w:rsidRPr="00F91F27">
              <w:t xml:space="preserve">the </w:t>
            </w:r>
            <w:r w:rsidR="0097513E">
              <w:t xml:space="preserve">Texas school employees uniform group health coverage </w:t>
            </w:r>
            <w:r w:rsidRPr="00F91F27">
              <w:t>program, an administering firm, or a health cove</w:t>
            </w:r>
            <w:r w:rsidRPr="00F91F27">
              <w:t xml:space="preserve">rage plan provided </w:t>
            </w:r>
            <w:r w:rsidR="0097513E">
              <w:t>under</w:t>
            </w:r>
            <w:r>
              <w:t xml:space="preserve"> the </w:t>
            </w:r>
            <w:r w:rsidRPr="00F91F27">
              <w:t>Texas School Employees Uniform Group Health Coverage Act</w:t>
            </w:r>
            <w:r w:rsidR="0097513E">
              <w:t xml:space="preserve">, </w:t>
            </w:r>
            <w:r w:rsidR="0097513E" w:rsidRPr="0097513E">
              <w:t>or a designee of the program, firm, or plan</w:t>
            </w:r>
            <w:r>
              <w:t>;</w:t>
            </w:r>
            <w:r w:rsidR="001C324D">
              <w:t xml:space="preserve"> or</w:t>
            </w:r>
          </w:p>
          <w:p w14:paraId="0FCF96CD" w14:textId="41A54AA6" w:rsidR="001C324D" w:rsidRDefault="00B95A7E" w:rsidP="00F52FD4">
            <w:pPr>
              <w:pStyle w:val="Header"/>
              <w:numPr>
                <w:ilvl w:val="0"/>
                <w:numId w:val="4"/>
              </w:numPr>
              <w:jc w:val="both"/>
            </w:pPr>
            <w:r w:rsidRPr="00F91F27">
              <w:t xml:space="preserve">the uniform </w:t>
            </w:r>
            <w:r w:rsidR="0032304B">
              <w:t xml:space="preserve">insurance benefits </w:t>
            </w:r>
            <w:r w:rsidRPr="00F91F27">
              <w:t>program</w:t>
            </w:r>
            <w:r w:rsidR="0032304B">
              <w:t xml:space="preserve"> for employees of </w:t>
            </w:r>
            <w:r w:rsidR="00453D5F">
              <w:t>T</w:t>
            </w:r>
            <w:r w:rsidR="0032304B">
              <w:t xml:space="preserve">he University of Texas </w:t>
            </w:r>
            <w:r w:rsidR="00453D5F">
              <w:t>S</w:t>
            </w:r>
            <w:r w:rsidR="0032304B">
              <w:t xml:space="preserve">ystem and </w:t>
            </w:r>
            <w:r w:rsidR="00453D5F">
              <w:t>T</w:t>
            </w:r>
            <w:r w:rsidR="0032304B">
              <w:t xml:space="preserve">he Texas A&amp;M University </w:t>
            </w:r>
            <w:r w:rsidR="00453D5F">
              <w:t>S</w:t>
            </w:r>
            <w:r w:rsidR="0032304B">
              <w:t>ystem</w:t>
            </w:r>
            <w:r w:rsidRPr="00F91F27">
              <w:t xml:space="preserve">, an administering carrier, or a health benefit plan </w:t>
            </w:r>
            <w:r w:rsidR="0032304B">
              <w:t xml:space="preserve">provided under </w:t>
            </w:r>
            <w:r w:rsidRPr="00F91F27">
              <w:t>the State University Employees Uniform Insurance Benefits Act</w:t>
            </w:r>
            <w:r w:rsidR="0032304B">
              <w:t>.</w:t>
            </w:r>
          </w:p>
          <w:p w14:paraId="6733C6C7" w14:textId="4E75284D" w:rsidR="000E5448" w:rsidRDefault="00B95A7E" w:rsidP="00F52FD4">
            <w:pPr>
              <w:pStyle w:val="Header"/>
              <w:jc w:val="both"/>
            </w:pPr>
            <w:r>
              <w:t xml:space="preserve">The bill requires a </w:t>
            </w:r>
            <w:r w:rsidRPr="000E5448">
              <w:t>facility that receives</w:t>
            </w:r>
            <w:r w:rsidR="004A710D">
              <w:t xml:space="preserve"> such</w:t>
            </w:r>
            <w:r w:rsidRPr="000E5448">
              <w:t xml:space="preserve"> reimbursement for a health care service or supply </w:t>
            </w:r>
            <w:r>
              <w:t xml:space="preserve">to </w:t>
            </w:r>
            <w:r w:rsidRPr="000E5448">
              <w:t xml:space="preserve">consider </w:t>
            </w:r>
            <w:r w:rsidR="004A710D">
              <w:t>the</w:t>
            </w:r>
            <w:r w:rsidRPr="000E5448">
              <w:t xml:space="preserve"> reimbursement as payment in full for the service or supply</w:t>
            </w:r>
            <w:r>
              <w:t xml:space="preserve"> and prohibit</w:t>
            </w:r>
            <w:r w:rsidR="004A710D">
              <w:t>s</w:t>
            </w:r>
            <w:r>
              <w:t xml:space="preserve"> </w:t>
            </w:r>
            <w:r w:rsidRPr="000E5448">
              <w:t xml:space="preserve">the facility </w:t>
            </w:r>
            <w:r>
              <w:t>from</w:t>
            </w:r>
            <w:r w:rsidRPr="000E5448">
              <w:t xml:space="preserve"> charg</w:t>
            </w:r>
            <w:r>
              <w:t>ing</w:t>
            </w:r>
            <w:r w:rsidRPr="000E5448">
              <w:t xml:space="preserve"> an enrollee to recover </w:t>
            </w:r>
            <w:r w:rsidR="004A710D">
              <w:t xml:space="preserve">from the enrollee </w:t>
            </w:r>
            <w:r w:rsidRPr="000E5448">
              <w:t>the balance of the facility's fee for a service or supply received by the enrollee from the facility that is not f</w:t>
            </w:r>
            <w:r w:rsidRPr="000E5448">
              <w:t>ully reimbursed</w:t>
            </w:r>
            <w:r>
              <w:t>. However, the bill authorizes t</w:t>
            </w:r>
            <w:r w:rsidRPr="000E5448">
              <w:t xml:space="preserve">he facility </w:t>
            </w:r>
            <w:r>
              <w:t>to</w:t>
            </w:r>
            <w:r w:rsidRPr="000E5448">
              <w:t xml:space="preserve"> charge the enrollee an applicable copayment, coinsurance, or deductible under the enrollee's health benefit </w:t>
            </w:r>
            <w:r w:rsidR="001C324D">
              <w:t xml:space="preserve">or coverage </w:t>
            </w:r>
            <w:r w:rsidRPr="000E5448">
              <w:t>plan</w:t>
            </w:r>
            <w:r w:rsidR="00A67006">
              <w:t>, as applicable</w:t>
            </w:r>
            <w:r w:rsidRPr="000E5448">
              <w:t>.</w:t>
            </w:r>
            <w:r w:rsidR="001C324D">
              <w:t xml:space="preserve"> The bill prohibits a facility from discriminating against an enrollee or the group benefits</w:t>
            </w:r>
            <w:r w:rsidR="0085537B">
              <w:t xml:space="preserve"> or coverage</w:t>
            </w:r>
            <w:r w:rsidR="001C324D">
              <w:t xml:space="preserve"> program based on the limitation on reimbursement </w:t>
            </w:r>
            <w:r w:rsidR="004A710D">
              <w:t xml:space="preserve">either </w:t>
            </w:r>
            <w:r w:rsidR="0085537B">
              <w:t xml:space="preserve">by </w:t>
            </w:r>
            <w:r w:rsidR="001C324D">
              <w:t>refusing to provide health care services or supplies to the enrollee or</w:t>
            </w:r>
            <w:r w:rsidR="0085537B">
              <w:t xml:space="preserve"> </w:t>
            </w:r>
            <w:r w:rsidR="004A710D">
              <w:t xml:space="preserve">by </w:t>
            </w:r>
            <w:r w:rsidR="001C324D">
              <w:t>providing health care services or supplies of a lower quality to the enrollee than those the facility provides to similar patients who are not enrolled in</w:t>
            </w:r>
            <w:r w:rsidR="00E56304">
              <w:t xml:space="preserve"> such</w:t>
            </w:r>
            <w:r w:rsidR="001C324D">
              <w:t xml:space="preserve"> a health benefit </w:t>
            </w:r>
            <w:r w:rsidR="0085537B">
              <w:t xml:space="preserve">or coverage </w:t>
            </w:r>
            <w:r w:rsidR="001C324D">
              <w:t>plan</w:t>
            </w:r>
            <w:r w:rsidR="0085537B">
              <w:t>.</w:t>
            </w:r>
          </w:p>
          <w:p w14:paraId="7EC1ED5A" w14:textId="6DFD7273" w:rsidR="0085537B" w:rsidRDefault="0085537B" w:rsidP="00F52FD4">
            <w:pPr>
              <w:pStyle w:val="Header"/>
              <w:jc w:val="both"/>
            </w:pPr>
          </w:p>
          <w:p w14:paraId="2F1C9C04" w14:textId="61237666" w:rsidR="0085537B" w:rsidRDefault="00B95A7E" w:rsidP="00F52FD4">
            <w:pPr>
              <w:pStyle w:val="Header"/>
              <w:jc w:val="both"/>
            </w:pPr>
            <w:r>
              <w:t>C.S.H.B. 5186 applies to a plan year beginning on or after September 1, 2024</w:t>
            </w:r>
            <w:r w:rsidR="00E56304">
              <w:t>,</w:t>
            </w:r>
            <w:r>
              <w:t xml:space="preserve"> and a contract entered into or renewed on or after Se</w:t>
            </w:r>
            <w:r>
              <w:t>ptember 1, 2023.</w:t>
            </w:r>
          </w:p>
          <w:p w14:paraId="32983605" w14:textId="2B7E06F0" w:rsidR="004472D8" w:rsidRPr="00D255CF" w:rsidRDefault="004472D8" w:rsidP="00F52FD4">
            <w:pPr>
              <w:pStyle w:val="Header"/>
              <w:jc w:val="both"/>
              <w:rPr>
                <w:bCs/>
              </w:rPr>
            </w:pPr>
          </w:p>
        </w:tc>
      </w:tr>
      <w:tr w:rsidR="000107AC" w14:paraId="3C5B672E" w14:textId="77777777" w:rsidTr="00345119">
        <w:tc>
          <w:tcPr>
            <w:tcW w:w="9576" w:type="dxa"/>
          </w:tcPr>
          <w:p w14:paraId="569A604C" w14:textId="77777777" w:rsidR="008423E4" w:rsidRPr="00A8133F" w:rsidRDefault="00B95A7E" w:rsidP="00F52FD4">
            <w:pPr>
              <w:rPr>
                <w:b/>
              </w:rPr>
            </w:pPr>
            <w:r w:rsidRPr="009C1E9A">
              <w:rPr>
                <w:b/>
                <w:u w:val="single"/>
              </w:rPr>
              <w:t>EFFECTIVE DATE</w:t>
            </w:r>
            <w:r>
              <w:rPr>
                <w:b/>
              </w:rPr>
              <w:t xml:space="preserve"> </w:t>
            </w:r>
          </w:p>
          <w:p w14:paraId="7B6D2F5A" w14:textId="77777777" w:rsidR="008423E4" w:rsidRDefault="008423E4" w:rsidP="00F52FD4"/>
          <w:p w14:paraId="26BE978B" w14:textId="6D8DF523" w:rsidR="008423E4" w:rsidRPr="003624F2" w:rsidRDefault="00B95A7E" w:rsidP="00F52FD4">
            <w:pPr>
              <w:pStyle w:val="Header"/>
              <w:tabs>
                <w:tab w:val="clear" w:pos="4320"/>
                <w:tab w:val="clear" w:pos="8640"/>
              </w:tabs>
              <w:jc w:val="both"/>
            </w:pPr>
            <w:r>
              <w:t>September 1, 2023.</w:t>
            </w:r>
          </w:p>
          <w:p w14:paraId="78C86F1B" w14:textId="77777777" w:rsidR="008423E4" w:rsidRPr="00233FDB" w:rsidRDefault="008423E4" w:rsidP="00F52FD4">
            <w:pPr>
              <w:rPr>
                <w:b/>
              </w:rPr>
            </w:pPr>
          </w:p>
        </w:tc>
      </w:tr>
      <w:tr w:rsidR="000107AC" w14:paraId="7E175851" w14:textId="77777777" w:rsidTr="00345119">
        <w:tc>
          <w:tcPr>
            <w:tcW w:w="9576" w:type="dxa"/>
          </w:tcPr>
          <w:p w14:paraId="4248934F" w14:textId="77777777" w:rsidR="00E93540" w:rsidRDefault="00B95A7E" w:rsidP="00F52FD4">
            <w:pPr>
              <w:jc w:val="both"/>
              <w:rPr>
                <w:b/>
                <w:u w:val="single"/>
              </w:rPr>
            </w:pPr>
            <w:r>
              <w:rPr>
                <w:b/>
                <w:u w:val="single"/>
              </w:rPr>
              <w:t>COMPARISON OF INTRODUCED AND SUBSTITUTE</w:t>
            </w:r>
          </w:p>
          <w:p w14:paraId="532121F8" w14:textId="77777777" w:rsidR="00E0735A" w:rsidRDefault="00E0735A" w:rsidP="00F52FD4">
            <w:pPr>
              <w:jc w:val="both"/>
            </w:pPr>
          </w:p>
          <w:p w14:paraId="67F4706C" w14:textId="2DE75264" w:rsidR="00EC0AB9" w:rsidRDefault="00B95A7E" w:rsidP="00F52FD4">
            <w:pPr>
              <w:jc w:val="both"/>
            </w:pPr>
            <w:r>
              <w:t xml:space="preserve">While C.S.H.B. 5186 may differ from the introduced in minor or nonsubstantive ways, the following summarizes the substantial differences between the </w:t>
            </w:r>
            <w:r>
              <w:t>introduced and committee substitute versions of the bill.</w:t>
            </w:r>
          </w:p>
          <w:p w14:paraId="1E50A45E" w14:textId="77777777" w:rsidR="00CF5F99" w:rsidRDefault="00CF5F99" w:rsidP="00F52FD4">
            <w:pPr>
              <w:jc w:val="both"/>
            </w:pPr>
          </w:p>
          <w:p w14:paraId="7CE0E1A7" w14:textId="5B9DF91C" w:rsidR="00511D77" w:rsidRDefault="00B95A7E" w:rsidP="00F52FD4">
            <w:pPr>
              <w:pStyle w:val="Header"/>
              <w:jc w:val="both"/>
            </w:pPr>
            <w:r>
              <w:t>While both the introduced and the substitute provide for limitations on reimbursements paid for certain services provided to enrollees in state health benefit plans, the versions differ in the foll</w:t>
            </w:r>
            <w:r>
              <w:t>owing manner:</w:t>
            </w:r>
          </w:p>
          <w:p w14:paraId="0BD8730F" w14:textId="70D03BDC" w:rsidR="00511D77" w:rsidRDefault="00B95A7E" w:rsidP="00F52FD4">
            <w:pPr>
              <w:pStyle w:val="Header"/>
              <w:numPr>
                <w:ilvl w:val="0"/>
                <w:numId w:val="8"/>
              </w:numPr>
              <w:jc w:val="both"/>
            </w:pPr>
            <w:r w:rsidRPr="00511D77">
              <w:rPr>
                <w:bCs/>
              </w:rPr>
              <w:t xml:space="preserve">the substitute includes provisions that were not in the introduced relating to the creation </w:t>
            </w:r>
            <w:r w:rsidR="00F553BE">
              <w:rPr>
                <w:bCs/>
              </w:rPr>
              <w:t xml:space="preserve">and administration </w:t>
            </w:r>
            <w:r w:rsidRPr="00511D77">
              <w:rPr>
                <w:bCs/>
              </w:rPr>
              <w:t xml:space="preserve">of the state health benefit plan reimbursement review board, its duty to adopt a reimbursement rate structure, and relevant reports created by the board and each applicable state health benefit plan; </w:t>
            </w:r>
          </w:p>
          <w:p w14:paraId="04140BE7" w14:textId="7F9556C9" w:rsidR="002D3847" w:rsidRDefault="00B95A7E" w:rsidP="00F52FD4">
            <w:pPr>
              <w:pStyle w:val="Header"/>
              <w:numPr>
                <w:ilvl w:val="0"/>
                <w:numId w:val="9"/>
              </w:numPr>
              <w:jc w:val="both"/>
            </w:pPr>
            <w:r>
              <w:t>w</w:t>
            </w:r>
            <w:r w:rsidR="00EC0AB9" w:rsidRPr="00EC0AB9">
              <w:t xml:space="preserve">hereas the introduced </w:t>
            </w:r>
            <w:r>
              <w:t>applied its provisions to a faci</w:t>
            </w:r>
            <w:r>
              <w:t>lity as defined by reference to Health and Safety Code provisions, the substitute defines "facility" for purposes of its provisions;</w:t>
            </w:r>
          </w:p>
          <w:p w14:paraId="7673F6A0" w14:textId="26C06A96" w:rsidR="00EC0AB9" w:rsidRDefault="00B95A7E" w:rsidP="00F52FD4">
            <w:pPr>
              <w:pStyle w:val="Header"/>
              <w:numPr>
                <w:ilvl w:val="0"/>
                <w:numId w:val="9"/>
              </w:numPr>
              <w:jc w:val="both"/>
            </w:pPr>
            <w:r>
              <w:t xml:space="preserve">whereas the introduced established that any facility that bills </w:t>
            </w:r>
            <w:r w:rsidR="0023150B">
              <w:t>an applicable</w:t>
            </w:r>
            <w:r>
              <w:t xml:space="preserve"> program</w:t>
            </w:r>
            <w:r w:rsidR="0023150B">
              <w:t>, plan, administering firm, carrier, or designee</w:t>
            </w:r>
            <w:r>
              <w:t xml:space="preserve"> </w:t>
            </w:r>
            <w:r w:rsidRPr="003E5AD4">
              <w:t>for health care services provided to an enrolled employee</w:t>
            </w:r>
            <w:r>
              <w:t>, retiree,</w:t>
            </w:r>
            <w:r w:rsidRPr="003E5AD4">
              <w:t xml:space="preserve"> or dependent</w:t>
            </w:r>
            <w:r>
              <w:t>, as applicable, will never be</w:t>
            </w:r>
            <w:r w:rsidRPr="003E5AD4">
              <w:t xml:space="preserve"> </w:t>
            </w:r>
            <w:r>
              <w:t>entitled to a</w:t>
            </w:r>
            <w:r w:rsidRPr="003E5AD4">
              <w:t xml:space="preserve"> rate </w:t>
            </w:r>
            <w:r>
              <w:t>for such services that exceed</w:t>
            </w:r>
            <w:r w:rsidR="0023150B">
              <w:t>s</w:t>
            </w:r>
            <w:r>
              <w:t xml:space="preserve"> the rate </w:t>
            </w:r>
            <w:r w:rsidRPr="003E5AD4">
              <w:t>established in the applicable rider</w:t>
            </w:r>
            <w:r>
              <w:t xml:space="preserve"> in the General Appropriations Act</w:t>
            </w:r>
            <w:r w:rsidRPr="00EC0AB9">
              <w:t xml:space="preserve">, the </w:t>
            </w:r>
            <w:r w:rsidRPr="00EC0AB9">
              <w:t xml:space="preserve">substitute </w:t>
            </w:r>
            <w:r>
              <w:t xml:space="preserve">establishes </w:t>
            </w:r>
            <w:r w:rsidR="0023150B">
              <w:t xml:space="preserve">that a facility that bills an applicable program, plan, </w:t>
            </w:r>
            <w:r w:rsidR="00AA28B1">
              <w:t>administrator</w:t>
            </w:r>
            <w:r w:rsidR="0023150B">
              <w:t>, or designee</w:t>
            </w:r>
            <w:r w:rsidR="00AA28B1">
              <w:t xml:space="preserve"> </w:t>
            </w:r>
            <w:r w:rsidR="00AA28B1" w:rsidRPr="00AA28B1">
              <w:t>for a health care service or supply provided to a plan enrollee must be reimbursed for the health care service or supply in accordance with the reimbursement structure adopted for the service or supply by the board for the applicable plan year</w:t>
            </w:r>
            <w:r w:rsidR="00AA28B1">
              <w:t>;</w:t>
            </w:r>
          </w:p>
          <w:p w14:paraId="2E757526" w14:textId="7B35C551" w:rsidR="009A7A58" w:rsidRDefault="00B95A7E" w:rsidP="00F52FD4">
            <w:pPr>
              <w:pStyle w:val="Header"/>
              <w:numPr>
                <w:ilvl w:val="0"/>
                <w:numId w:val="9"/>
              </w:numPr>
              <w:jc w:val="both"/>
            </w:pPr>
            <w:r>
              <w:t xml:space="preserve">the substitute includes a provision not in the introduced requiring a facility to consider such reimbursement as payment in full and prohibiting the facility from charging an enrollee </w:t>
            </w:r>
            <w:r w:rsidR="00FE38D0" w:rsidRPr="00FE38D0">
              <w:t>the balance of the facility's fee for a service or supply received by the enrollee from the facility that is not fully reimbursed</w:t>
            </w:r>
            <w:r w:rsidR="00F553BE">
              <w:t>,</w:t>
            </w:r>
            <w:r w:rsidR="00FE38D0">
              <w:t xml:space="preserve"> with the exception of </w:t>
            </w:r>
            <w:r w:rsidR="00FE38D0" w:rsidRPr="00FE38D0">
              <w:t>an applicable copayment, coinsurance, or deductible under the enrollee's health benefit plan</w:t>
            </w:r>
            <w:r w:rsidR="00F553BE">
              <w:t>;</w:t>
            </w:r>
          </w:p>
          <w:p w14:paraId="52DA8B75" w14:textId="58FC56C0" w:rsidR="00A104D1" w:rsidRDefault="00B95A7E" w:rsidP="00F52FD4">
            <w:pPr>
              <w:pStyle w:val="Header"/>
              <w:numPr>
                <w:ilvl w:val="0"/>
                <w:numId w:val="9"/>
              </w:numPr>
              <w:jc w:val="both"/>
            </w:pPr>
            <w:r>
              <w:t xml:space="preserve">whereas the introduced prohibited a facility from discriminating </w:t>
            </w:r>
            <w:r w:rsidRPr="00A104D1">
              <w:t>because of the m</w:t>
            </w:r>
            <w:r w:rsidRPr="00A104D1">
              <w:t xml:space="preserve">aximum rating schedule imposed by </w:t>
            </w:r>
            <w:r>
              <w:t>the introduced, the substitute prohibits a facility from discriminating based on the limitation of reimbursement imposed by the substitute;</w:t>
            </w:r>
          </w:p>
          <w:p w14:paraId="2EA5C9F1" w14:textId="36741328" w:rsidR="00FE38D0" w:rsidRDefault="00B95A7E" w:rsidP="00F52FD4">
            <w:pPr>
              <w:pStyle w:val="Header"/>
              <w:numPr>
                <w:ilvl w:val="0"/>
                <w:numId w:val="9"/>
              </w:numPr>
              <w:jc w:val="both"/>
            </w:pPr>
            <w:r>
              <w:t>the substitute omits a provision from the introduced prohibiting a facility from d</w:t>
            </w:r>
            <w:r>
              <w:t xml:space="preserve">iscriminating by refusing to participate in an applicable network; </w:t>
            </w:r>
            <w:r w:rsidR="009A612F">
              <w:t>and</w:t>
            </w:r>
          </w:p>
          <w:p w14:paraId="0DAF5293" w14:textId="7D2D9732" w:rsidR="0002351A" w:rsidRPr="00F553BE" w:rsidRDefault="00B95A7E" w:rsidP="00F52FD4">
            <w:pPr>
              <w:pStyle w:val="Header"/>
              <w:numPr>
                <w:ilvl w:val="0"/>
                <w:numId w:val="9"/>
              </w:numPr>
              <w:jc w:val="both"/>
              <w:rPr>
                <w:bCs/>
              </w:rPr>
            </w:pPr>
            <w:r>
              <w:t>whereas the introduced made its</w:t>
            </w:r>
            <w:r w:rsidR="00CB58AD" w:rsidRPr="00F553BE">
              <w:rPr>
                <w:bCs/>
              </w:rPr>
              <w:t xml:space="preserve"> maximum rating schedules </w:t>
            </w:r>
            <w:r w:rsidRPr="00F553BE">
              <w:rPr>
                <w:bCs/>
              </w:rPr>
              <w:t>applicable</w:t>
            </w:r>
            <w:r w:rsidR="00CB58AD" w:rsidRPr="00F553BE">
              <w:rPr>
                <w:bCs/>
              </w:rPr>
              <w:t xml:space="preserve"> to any bill for health care services provided by a facility with dates of service beginning on or after September 1, 2024</w:t>
            </w:r>
            <w:r w:rsidRPr="00F553BE">
              <w:rPr>
                <w:bCs/>
              </w:rPr>
              <w:t>, the bill makes its provisions applicable to a plan year beginning on or after September 1, 2024, and a contract entered into or renewed on or after September</w:t>
            </w:r>
            <w:r w:rsidR="000711F8">
              <w:rPr>
                <w:bCs/>
              </w:rPr>
              <w:t> </w:t>
            </w:r>
            <w:r w:rsidRPr="00F553BE">
              <w:rPr>
                <w:bCs/>
              </w:rPr>
              <w:t>1, 2023</w:t>
            </w:r>
            <w:r w:rsidR="00CB58AD" w:rsidRPr="00F553BE">
              <w:rPr>
                <w:bCs/>
              </w:rPr>
              <w:t>.</w:t>
            </w:r>
          </w:p>
          <w:p w14:paraId="0940C2F6" w14:textId="57F2F2E7" w:rsidR="0002351A" w:rsidRDefault="0002351A" w:rsidP="00F52FD4">
            <w:pPr>
              <w:jc w:val="both"/>
            </w:pPr>
          </w:p>
          <w:p w14:paraId="0D75DFCC" w14:textId="034D1AF0" w:rsidR="00E0735A" w:rsidRPr="00E0735A" w:rsidRDefault="00E0735A" w:rsidP="00F52FD4">
            <w:pPr>
              <w:jc w:val="both"/>
            </w:pPr>
          </w:p>
        </w:tc>
      </w:tr>
      <w:tr w:rsidR="000107AC" w14:paraId="0D92A11D" w14:textId="77777777" w:rsidTr="00345119">
        <w:tc>
          <w:tcPr>
            <w:tcW w:w="9576" w:type="dxa"/>
          </w:tcPr>
          <w:p w14:paraId="126025B1" w14:textId="77777777" w:rsidR="00E93540" w:rsidRPr="009C1E9A" w:rsidRDefault="00E93540" w:rsidP="00F52FD4">
            <w:pPr>
              <w:rPr>
                <w:b/>
                <w:u w:val="single"/>
              </w:rPr>
            </w:pPr>
          </w:p>
        </w:tc>
      </w:tr>
      <w:tr w:rsidR="000107AC" w14:paraId="1C069F55" w14:textId="77777777" w:rsidTr="00345119">
        <w:tc>
          <w:tcPr>
            <w:tcW w:w="9576" w:type="dxa"/>
          </w:tcPr>
          <w:p w14:paraId="020F323A" w14:textId="77777777" w:rsidR="00E93540" w:rsidRPr="00E93540" w:rsidRDefault="00E93540" w:rsidP="00F52FD4">
            <w:pPr>
              <w:jc w:val="both"/>
            </w:pPr>
          </w:p>
        </w:tc>
      </w:tr>
    </w:tbl>
    <w:p w14:paraId="199219AB" w14:textId="77777777" w:rsidR="008423E4" w:rsidRPr="00BE0E75" w:rsidRDefault="008423E4" w:rsidP="00F52FD4">
      <w:pPr>
        <w:jc w:val="both"/>
        <w:rPr>
          <w:rFonts w:ascii="Arial" w:hAnsi="Arial"/>
          <w:sz w:val="16"/>
          <w:szCs w:val="16"/>
        </w:rPr>
      </w:pPr>
    </w:p>
    <w:p w14:paraId="14EF7351" w14:textId="77777777" w:rsidR="004108C3" w:rsidRPr="008423E4" w:rsidRDefault="004108C3" w:rsidP="00F52FD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DD0F" w14:textId="77777777" w:rsidR="00000000" w:rsidRDefault="00B95A7E">
      <w:r>
        <w:separator/>
      </w:r>
    </w:p>
  </w:endnote>
  <w:endnote w:type="continuationSeparator" w:id="0">
    <w:p w14:paraId="3509C81E" w14:textId="77777777" w:rsidR="00000000" w:rsidRDefault="00B9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B3A0" w14:textId="77777777" w:rsidR="00062FEB" w:rsidRDefault="00062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107AC" w14:paraId="2B16EA7D" w14:textId="77777777" w:rsidTr="009C1E9A">
      <w:trPr>
        <w:cantSplit/>
      </w:trPr>
      <w:tc>
        <w:tcPr>
          <w:tcW w:w="0" w:type="pct"/>
        </w:tcPr>
        <w:p w14:paraId="74B506DF" w14:textId="77777777" w:rsidR="00137D90" w:rsidRDefault="00137D90" w:rsidP="009C1E9A">
          <w:pPr>
            <w:pStyle w:val="Footer"/>
            <w:tabs>
              <w:tab w:val="clear" w:pos="8640"/>
              <w:tab w:val="right" w:pos="9360"/>
            </w:tabs>
          </w:pPr>
        </w:p>
      </w:tc>
      <w:tc>
        <w:tcPr>
          <w:tcW w:w="2395" w:type="pct"/>
        </w:tcPr>
        <w:p w14:paraId="5FD5A041" w14:textId="77777777" w:rsidR="00137D90" w:rsidRDefault="00137D90" w:rsidP="009C1E9A">
          <w:pPr>
            <w:pStyle w:val="Footer"/>
            <w:tabs>
              <w:tab w:val="clear" w:pos="8640"/>
              <w:tab w:val="right" w:pos="9360"/>
            </w:tabs>
          </w:pPr>
        </w:p>
        <w:p w14:paraId="2171D893" w14:textId="77777777" w:rsidR="001A4310" w:rsidRDefault="001A4310" w:rsidP="009C1E9A">
          <w:pPr>
            <w:pStyle w:val="Footer"/>
            <w:tabs>
              <w:tab w:val="clear" w:pos="8640"/>
              <w:tab w:val="right" w:pos="9360"/>
            </w:tabs>
          </w:pPr>
        </w:p>
        <w:p w14:paraId="278E35A7" w14:textId="77777777" w:rsidR="00137D90" w:rsidRDefault="00137D90" w:rsidP="009C1E9A">
          <w:pPr>
            <w:pStyle w:val="Footer"/>
            <w:tabs>
              <w:tab w:val="clear" w:pos="8640"/>
              <w:tab w:val="right" w:pos="9360"/>
            </w:tabs>
          </w:pPr>
        </w:p>
      </w:tc>
      <w:tc>
        <w:tcPr>
          <w:tcW w:w="2453" w:type="pct"/>
        </w:tcPr>
        <w:p w14:paraId="15AD0EA1" w14:textId="77777777" w:rsidR="00137D90" w:rsidRDefault="00137D90" w:rsidP="009C1E9A">
          <w:pPr>
            <w:pStyle w:val="Footer"/>
            <w:tabs>
              <w:tab w:val="clear" w:pos="8640"/>
              <w:tab w:val="right" w:pos="9360"/>
            </w:tabs>
            <w:jc w:val="right"/>
          </w:pPr>
        </w:p>
      </w:tc>
    </w:tr>
    <w:tr w:rsidR="000107AC" w14:paraId="16F19603" w14:textId="77777777" w:rsidTr="009C1E9A">
      <w:trPr>
        <w:cantSplit/>
      </w:trPr>
      <w:tc>
        <w:tcPr>
          <w:tcW w:w="0" w:type="pct"/>
        </w:tcPr>
        <w:p w14:paraId="292E9980" w14:textId="77777777" w:rsidR="00EC379B" w:rsidRDefault="00EC379B" w:rsidP="009C1E9A">
          <w:pPr>
            <w:pStyle w:val="Footer"/>
            <w:tabs>
              <w:tab w:val="clear" w:pos="8640"/>
              <w:tab w:val="right" w:pos="9360"/>
            </w:tabs>
          </w:pPr>
        </w:p>
      </w:tc>
      <w:tc>
        <w:tcPr>
          <w:tcW w:w="2395" w:type="pct"/>
        </w:tcPr>
        <w:p w14:paraId="7BC3800A" w14:textId="0A8BE529" w:rsidR="00EC379B" w:rsidRPr="009C1E9A" w:rsidRDefault="00B95A7E" w:rsidP="009C1E9A">
          <w:pPr>
            <w:pStyle w:val="Footer"/>
            <w:tabs>
              <w:tab w:val="clear" w:pos="8640"/>
              <w:tab w:val="right" w:pos="9360"/>
            </w:tabs>
            <w:rPr>
              <w:rFonts w:ascii="Shruti" w:hAnsi="Shruti"/>
              <w:sz w:val="22"/>
            </w:rPr>
          </w:pPr>
          <w:r>
            <w:rPr>
              <w:rFonts w:ascii="Shruti" w:hAnsi="Shruti"/>
              <w:sz w:val="22"/>
            </w:rPr>
            <w:t>88R 24884-D</w:t>
          </w:r>
        </w:p>
      </w:tc>
      <w:tc>
        <w:tcPr>
          <w:tcW w:w="2453" w:type="pct"/>
        </w:tcPr>
        <w:p w14:paraId="1613F6D9" w14:textId="71EDDE41" w:rsidR="00EC379B" w:rsidRDefault="00B95A7E" w:rsidP="009C1E9A">
          <w:pPr>
            <w:pStyle w:val="Footer"/>
            <w:tabs>
              <w:tab w:val="clear" w:pos="8640"/>
              <w:tab w:val="right" w:pos="9360"/>
            </w:tabs>
            <w:jc w:val="right"/>
          </w:pPr>
          <w:r>
            <w:fldChar w:fldCharType="begin"/>
          </w:r>
          <w:r>
            <w:instrText xml:space="preserve"> DOCPROPERTY  OTID  \* MERGEFORMAT </w:instrText>
          </w:r>
          <w:r>
            <w:fldChar w:fldCharType="separate"/>
          </w:r>
          <w:r w:rsidR="00F52FD4">
            <w:t>23.111.1730</w:t>
          </w:r>
          <w:r>
            <w:fldChar w:fldCharType="end"/>
          </w:r>
        </w:p>
      </w:tc>
    </w:tr>
    <w:tr w:rsidR="000107AC" w14:paraId="1C7F1485" w14:textId="77777777" w:rsidTr="009C1E9A">
      <w:trPr>
        <w:cantSplit/>
      </w:trPr>
      <w:tc>
        <w:tcPr>
          <w:tcW w:w="0" w:type="pct"/>
        </w:tcPr>
        <w:p w14:paraId="4D14A6E3" w14:textId="77777777" w:rsidR="00EC379B" w:rsidRDefault="00EC379B" w:rsidP="009C1E9A">
          <w:pPr>
            <w:pStyle w:val="Footer"/>
            <w:tabs>
              <w:tab w:val="clear" w:pos="4320"/>
              <w:tab w:val="clear" w:pos="8640"/>
              <w:tab w:val="left" w:pos="2865"/>
            </w:tabs>
          </w:pPr>
        </w:p>
      </w:tc>
      <w:tc>
        <w:tcPr>
          <w:tcW w:w="2395" w:type="pct"/>
        </w:tcPr>
        <w:p w14:paraId="2C533C57" w14:textId="39103247" w:rsidR="00EC379B" w:rsidRPr="009C1E9A" w:rsidRDefault="00B95A7E" w:rsidP="009C1E9A">
          <w:pPr>
            <w:pStyle w:val="Footer"/>
            <w:tabs>
              <w:tab w:val="clear" w:pos="4320"/>
              <w:tab w:val="clear" w:pos="8640"/>
              <w:tab w:val="left" w:pos="2865"/>
            </w:tabs>
            <w:rPr>
              <w:rFonts w:ascii="Shruti" w:hAnsi="Shruti"/>
              <w:sz w:val="22"/>
            </w:rPr>
          </w:pPr>
          <w:r>
            <w:rPr>
              <w:rFonts w:ascii="Shruti" w:hAnsi="Shruti"/>
              <w:sz w:val="22"/>
            </w:rPr>
            <w:t>Substitute Document Number: 88R 23921</w:t>
          </w:r>
        </w:p>
      </w:tc>
      <w:tc>
        <w:tcPr>
          <w:tcW w:w="2453" w:type="pct"/>
        </w:tcPr>
        <w:p w14:paraId="103EA256" w14:textId="77777777" w:rsidR="00EC379B" w:rsidRDefault="00EC379B" w:rsidP="006D504F">
          <w:pPr>
            <w:pStyle w:val="Footer"/>
            <w:rPr>
              <w:rStyle w:val="PageNumber"/>
            </w:rPr>
          </w:pPr>
        </w:p>
        <w:p w14:paraId="4DE670B8" w14:textId="77777777" w:rsidR="00EC379B" w:rsidRDefault="00EC379B" w:rsidP="009C1E9A">
          <w:pPr>
            <w:pStyle w:val="Footer"/>
            <w:tabs>
              <w:tab w:val="clear" w:pos="8640"/>
              <w:tab w:val="right" w:pos="9360"/>
            </w:tabs>
            <w:jc w:val="right"/>
          </w:pPr>
        </w:p>
      </w:tc>
    </w:tr>
    <w:tr w:rsidR="000107AC" w14:paraId="23D05CEB" w14:textId="77777777" w:rsidTr="009C1E9A">
      <w:trPr>
        <w:cantSplit/>
        <w:trHeight w:val="323"/>
      </w:trPr>
      <w:tc>
        <w:tcPr>
          <w:tcW w:w="0" w:type="pct"/>
          <w:gridSpan w:val="3"/>
        </w:tcPr>
        <w:p w14:paraId="5242E557" w14:textId="77777777" w:rsidR="00EC379B" w:rsidRDefault="00B95A7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B652F31" w14:textId="77777777" w:rsidR="00EC379B" w:rsidRDefault="00EC379B" w:rsidP="009C1E9A">
          <w:pPr>
            <w:pStyle w:val="Footer"/>
            <w:tabs>
              <w:tab w:val="clear" w:pos="8640"/>
              <w:tab w:val="right" w:pos="9360"/>
            </w:tabs>
            <w:jc w:val="center"/>
          </w:pPr>
        </w:p>
      </w:tc>
    </w:tr>
  </w:tbl>
  <w:p w14:paraId="0B896F6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74C5" w14:textId="77777777" w:rsidR="00062FEB" w:rsidRDefault="00062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D7DE" w14:textId="77777777" w:rsidR="00000000" w:rsidRDefault="00B95A7E">
      <w:r>
        <w:separator/>
      </w:r>
    </w:p>
  </w:footnote>
  <w:footnote w:type="continuationSeparator" w:id="0">
    <w:p w14:paraId="1569125D" w14:textId="77777777" w:rsidR="00000000" w:rsidRDefault="00B95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E4DA" w14:textId="77777777" w:rsidR="00062FEB" w:rsidRDefault="00062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25E4" w14:textId="77777777" w:rsidR="00062FEB" w:rsidRDefault="00062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A0CF" w14:textId="77777777" w:rsidR="00062FEB" w:rsidRDefault="00062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2CDD"/>
    <w:multiLevelType w:val="hybridMultilevel"/>
    <w:tmpl w:val="90D0FD60"/>
    <w:lvl w:ilvl="0" w:tplc="67081B8E">
      <w:start w:val="1"/>
      <w:numFmt w:val="bullet"/>
      <w:lvlText w:val=""/>
      <w:lvlJc w:val="left"/>
      <w:pPr>
        <w:tabs>
          <w:tab w:val="num" w:pos="720"/>
        </w:tabs>
        <w:ind w:left="720" w:hanging="360"/>
      </w:pPr>
      <w:rPr>
        <w:rFonts w:ascii="Symbol" w:hAnsi="Symbol" w:hint="default"/>
      </w:rPr>
    </w:lvl>
    <w:lvl w:ilvl="1" w:tplc="5C2681EC" w:tentative="1">
      <w:start w:val="1"/>
      <w:numFmt w:val="bullet"/>
      <w:lvlText w:val="o"/>
      <w:lvlJc w:val="left"/>
      <w:pPr>
        <w:ind w:left="1440" w:hanging="360"/>
      </w:pPr>
      <w:rPr>
        <w:rFonts w:ascii="Courier New" w:hAnsi="Courier New" w:cs="Courier New" w:hint="default"/>
      </w:rPr>
    </w:lvl>
    <w:lvl w:ilvl="2" w:tplc="E0ACE1A6" w:tentative="1">
      <w:start w:val="1"/>
      <w:numFmt w:val="bullet"/>
      <w:lvlText w:val=""/>
      <w:lvlJc w:val="left"/>
      <w:pPr>
        <w:ind w:left="2160" w:hanging="360"/>
      </w:pPr>
      <w:rPr>
        <w:rFonts w:ascii="Wingdings" w:hAnsi="Wingdings" w:hint="default"/>
      </w:rPr>
    </w:lvl>
    <w:lvl w:ilvl="3" w:tplc="3CA029CA" w:tentative="1">
      <w:start w:val="1"/>
      <w:numFmt w:val="bullet"/>
      <w:lvlText w:val=""/>
      <w:lvlJc w:val="left"/>
      <w:pPr>
        <w:ind w:left="2880" w:hanging="360"/>
      </w:pPr>
      <w:rPr>
        <w:rFonts w:ascii="Symbol" w:hAnsi="Symbol" w:hint="default"/>
      </w:rPr>
    </w:lvl>
    <w:lvl w:ilvl="4" w:tplc="A43C416A" w:tentative="1">
      <w:start w:val="1"/>
      <w:numFmt w:val="bullet"/>
      <w:lvlText w:val="o"/>
      <w:lvlJc w:val="left"/>
      <w:pPr>
        <w:ind w:left="3600" w:hanging="360"/>
      </w:pPr>
      <w:rPr>
        <w:rFonts w:ascii="Courier New" w:hAnsi="Courier New" w:cs="Courier New" w:hint="default"/>
      </w:rPr>
    </w:lvl>
    <w:lvl w:ilvl="5" w:tplc="0F9659E0" w:tentative="1">
      <w:start w:val="1"/>
      <w:numFmt w:val="bullet"/>
      <w:lvlText w:val=""/>
      <w:lvlJc w:val="left"/>
      <w:pPr>
        <w:ind w:left="4320" w:hanging="360"/>
      </w:pPr>
      <w:rPr>
        <w:rFonts w:ascii="Wingdings" w:hAnsi="Wingdings" w:hint="default"/>
      </w:rPr>
    </w:lvl>
    <w:lvl w:ilvl="6" w:tplc="678E1F0A" w:tentative="1">
      <w:start w:val="1"/>
      <w:numFmt w:val="bullet"/>
      <w:lvlText w:val=""/>
      <w:lvlJc w:val="left"/>
      <w:pPr>
        <w:ind w:left="5040" w:hanging="360"/>
      </w:pPr>
      <w:rPr>
        <w:rFonts w:ascii="Symbol" w:hAnsi="Symbol" w:hint="default"/>
      </w:rPr>
    </w:lvl>
    <w:lvl w:ilvl="7" w:tplc="0818CB5E" w:tentative="1">
      <w:start w:val="1"/>
      <w:numFmt w:val="bullet"/>
      <w:lvlText w:val="o"/>
      <w:lvlJc w:val="left"/>
      <w:pPr>
        <w:ind w:left="5760" w:hanging="360"/>
      </w:pPr>
      <w:rPr>
        <w:rFonts w:ascii="Courier New" w:hAnsi="Courier New" w:cs="Courier New" w:hint="default"/>
      </w:rPr>
    </w:lvl>
    <w:lvl w:ilvl="8" w:tplc="68C0F514" w:tentative="1">
      <w:start w:val="1"/>
      <w:numFmt w:val="bullet"/>
      <w:lvlText w:val=""/>
      <w:lvlJc w:val="left"/>
      <w:pPr>
        <w:ind w:left="6480" w:hanging="360"/>
      </w:pPr>
      <w:rPr>
        <w:rFonts w:ascii="Wingdings" w:hAnsi="Wingdings" w:hint="default"/>
      </w:rPr>
    </w:lvl>
  </w:abstractNum>
  <w:abstractNum w:abstractNumId="1" w15:restartNumberingAfterBreak="0">
    <w:nsid w:val="28CE3084"/>
    <w:multiLevelType w:val="hybridMultilevel"/>
    <w:tmpl w:val="FBF223A6"/>
    <w:lvl w:ilvl="0" w:tplc="8CC8403E">
      <w:start w:val="1"/>
      <w:numFmt w:val="bullet"/>
      <w:lvlText w:val=""/>
      <w:lvlJc w:val="left"/>
      <w:pPr>
        <w:tabs>
          <w:tab w:val="num" w:pos="720"/>
        </w:tabs>
        <w:ind w:left="720" w:hanging="360"/>
      </w:pPr>
      <w:rPr>
        <w:rFonts w:ascii="Symbol" w:hAnsi="Symbol" w:hint="default"/>
      </w:rPr>
    </w:lvl>
    <w:lvl w:ilvl="1" w:tplc="F0F4858E" w:tentative="1">
      <w:start w:val="1"/>
      <w:numFmt w:val="bullet"/>
      <w:lvlText w:val="o"/>
      <w:lvlJc w:val="left"/>
      <w:pPr>
        <w:ind w:left="1440" w:hanging="360"/>
      </w:pPr>
      <w:rPr>
        <w:rFonts w:ascii="Courier New" w:hAnsi="Courier New" w:cs="Courier New" w:hint="default"/>
      </w:rPr>
    </w:lvl>
    <w:lvl w:ilvl="2" w:tplc="43268F5E" w:tentative="1">
      <w:start w:val="1"/>
      <w:numFmt w:val="bullet"/>
      <w:lvlText w:val=""/>
      <w:lvlJc w:val="left"/>
      <w:pPr>
        <w:ind w:left="2160" w:hanging="360"/>
      </w:pPr>
      <w:rPr>
        <w:rFonts w:ascii="Wingdings" w:hAnsi="Wingdings" w:hint="default"/>
      </w:rPr>
    </w:lvl>
    <w:lvl w:ilvl="3" w:tplc="96C0C614" w:tentative="1">
      <w:start w:val="1"/>
      <w:numFmt w:val="bullet"/>
      <w:lvlText w:val=""/>
      <w:lvlJc w:val="left"/>
      <w:pPr>
        <w:ind w:left="2880" w:hanging="360"/>
      </w:pPr>
      <w:rPr>
        <w:rFonts w:ascii="Symbol" w:hAnsi="Symbol" w:hint="default"/>
      </w:rPr>
    </w:lvl>
    <w:lvl w:ilvl="4" w:tplc="834C80C4" w:tentative="1">
      <w:start w:val="1"/>
      <w:numFmt w:val="bullet"/>
      <w:lvlText w:val="o"/>
      <w:lvlJc w:val="left"/>
      <w:pPr>
        <w:ind w:left="3600" w:hanging="360"/>
      </w:pPr>
      <w:rPr>
        <w:rFonts w:ascii="Courier New" w:hAnsi="Courier New" w:cs="Courier New" w:hint="default"/>
      </w:rPr>
    </w:lvl>
    <w:lvl w:ilvl="5" w:tplc="40AEE848" w:tentative="1">
      <w:start w:val="1"/>
      <w:numFmt w:val="bullet"/>
      <w:lvlText w:val=""/>
      <w:lvlJc w:val="left"/>
      <w:pPr>
        <w:ind w:left="4320" w:hanging="360"/>
      </w:pPr>
      <w:rPr>
        <w:rFonts w:ascii="Wingdings" w:hAnsi="Wingdings" w:hint="default"/>
      </w:rPr>
    </w:lvl>
    <w:lvl w:ilvl="6" w:tplc="CE8A0856" w:tentative="1">
      <w:start w:val="1"/>
      <w:numFmt w:val="bullet"/>
      <w:lvlText w:val=""/>
      <w:lvlJc w:val="left"/>
      <w:pPr>
        <w:ind w:left="5040" w:hanging="360"/>
      </w:pPr>
      <w:rPr>
        <w:rFonts w:ascii="Symbol" w:hAnsi="Symbol" w:hint="default"/>
      </w:rPr>
    </w:lvl>
    <w:lvl w:ilvl="7" w:tplc="1096B9BA" w:tentative="1">
      <w:start w:val="1"/>
      <w:numFmt w:val="bullet"/>
      <w:lvlText w:val="o"/>
      <w:lvlJc w:val="left"/>
      <w:pPr>
        <w:ind w:left="5760" w:hanging="360"/>
      </w:pPr>
      <w:rPr>
        <w:rFonts w:ascii="Courier New" w:hAnsi="Courier New" w:cs="Courier New" w:hint="default"/>
      </w:rPr>
    </w:lvl>
    <w:lvl w:ilvl="8" w:tplc="86F278CE" w:tentative="1">
      <w:start w:val="1"/>
      <w:numFmt w:val="bullet"/>
      <w:lvlText w:val=""/>
      <w:lvlJc w:val="left"/>
      <w:pPr>
        <w:ind w:left="6480" w:hanging="360"/>
      </w:pPr>
      <w:rPr>
        <w:rFonts w:ascii="Wingdings" w:hAnsi="Wingdings" w:hint="default"/>
      </w:rPr>
    </w:lvl>
  </w:abstractNum>
  <w:abstractNum w:abstractNumId="2" w15:restartNumberingAfterBreak="0">
    <w:nsid w:val="380269D1"/>
    <w:multiLevelType w:val="hybridMultilevel"/>
    <w:tmpl w:val="77C65204"/>
    <w:lvl w:ilvl="0" w:tplc="2A8A4610">
      <w:start w:val="1"/>
      <w:numFmt w:val="bullet"/>
      <w:lvlText w:val=""/>
      <w:lvlJc w:val="left"/>
      <w:pPr>
        <w:tabs>
          <w:tab w:val="num" w:pos="720"/>
        </w:tabs>
        <w:ind w:left="720" w:hanging="360"/>
      </w:pPr>
      <w:rPr>
        <w:rFonts w:ascii="Symbol" w:hAnsi="Symbol" w:hint="default"/>
      </w:rPr>
    </w:lvl>
    <w:lvl w:ilvl="1" w:tplc="33B2B406" w:tentative="1">
      <w:start w:val="1"/>
      <w:numFmt w:val="bullet"/>
      <w:lvlText w:val="o"/>
      <w:lvlJc w:val="left"/>
      <w:pPr>
        <w:ind w:left="1440" w:hanging="360"/>
      </w:pPr>
      <w:rPr>
        <w:rFonts w:ascii="Courier New" w:hAnsi="Courier New" w:cs="Courier New" w:hint="default"/>
      </w:rPr>
    </w:lvl>
    <w:lvl w:ilvl="2" w:tplc="C8BA15B6" w:tentative="1">
      <w:start w:val="1"/>
      <w:numFmt w:val="bullet"/>
      <w:lvlText w:val=""/>
      <w:lvlJc w:val="left"/>
      <w:pPr>
        <w:ind w:left="2160" w:hanging="360"/>
      </w:pPr>
      <w:rPr>
        <w:rFonts w:ascii="Wingdings" w:hAnsi="Wingdings" w:hint="default"/>
      </w:rPr>
    </w:lvl>
    <w:lvl w:ilvl="3" w:tplc="5EA40E5C" w:tentative="1">
      <w:start w:val="1"/>
      <w:numFmt w:val="bullet"/>
      <w:lvlText w:val=""/>
      <w:lvlJc w:val="left"/>
      <w:pPr>
        <w:ind w:left="2880" w:hanging="360"/>
      </w:pPr>
      <w:rPr>
        <w:rFonts w:ascii="Symbol" w:hAnsi="Symbol" w:hint="default"/>
      </w:rPr>
    </w:lvl>
    <w:lvl w:ilvl="4" w:tplc="40B4B522" w:tentative="1">
      <w:start w:val="1"/>
      <w:numFmt w:val="bullet"/>
      <w:lvlText w:val="o"/>
      <w:lvlJc w:val="left"/>
      <w:pPr>
        <w:ind w:left="3600" w:hanging="360"/>
      </w:pPr>
      <w:rPr>
        <w:rFonts w:ascii="Courier New" w:hAnsi="Courier New" w:cs="Courier New" w:hint="default"/>
      </w:rPr>
    </w:lvl>
    <w:lvl w:ilvl="5" w:tplc="76A4E2B2" w:tentative="1">
      <w:start w:val="1"/>
      <w:numFmt w:val="bullet"/>
      <w:lvlText w:val=""/>
      <w:lvlJc w:val="left"/>
      <w:pPr>
        <w:ind w:left="4320" w:hanging="360"/>
      </w:pPr>
      <w:rPr>
        <w:rFonts w:ascii="Wingdings" w:hAnsi="Wingdings" w:hint="default"/>
      </w:rPr>
    </w:lvl>
    <w:lvl w:ilvl="6" w:tplc="46BAAC5C" w:tentative="1">
      <w:start w:val="1"/>
      <w:numFmt w:val="bullet"/>
      <w:lvlText w:val=""/>
      <w:lvlJc w:val="left"/>
      <w:pPr>
        <w:ind w:left="5040" w:hanging="360"/>
      </w:pPr>
      <w:rPr>
        <w:rFonts w:ascii="Symbol" w:hAnsi="Symbol" w:hint="default"/>
      </w:rPr>
    </w:lvl>
    <w:lvl w:ilvl="7" w:tplc="CDFA87AE" w:tentative="1">
      <w:start w:val="1"/>
      <w:numFmt w:val="bullet"/>
      <w:lvlText w:val="o"/>
      <w:lvlJc w:val="left"/>
      <w:pPr>
        <w:ind w:left="5760" w:hanging="360"/>
      </w:pPr>
      <w:rPr>
        <w:rFonts w:ascii="Courier New" w:hAnsi="Courier New" w:cs="Courier New" w:hint="default"/>
      </w:rPr>
    </w:lvl>
    <w:lvl w:ilvl="8" w:tplc="BE7E71DE" w:tentative="1">
      <w:start w:val="1"/>
      <w:numFmt w:val="bullet"/>
      <w:lvlText w:val=""/>
      <w:lvlJc w:val="left"/>
      <w:pPr>
        <w:ind w:left="6480" w:hanging="360"/>
      </w:pPr>
      <w:rPr>
        <w:rFonts w:ascii="Wingdings" w:hAnsi="Wingdings" w:hint="default"/>
      </w:rPr>
    </w:lvl>
  </w:abstractNum>
  <w:abstractNum w:abstractNumId="3" w15:restartNumberingAfterBreak="0">
    <w:nsid w:val="3E492804"/>
    <w:multiLevelType w:val="hybridMultilevel"/>
    <w:tmpl w:val="A54A7194"/>
    <w:lvl w:ilvl="0" w:tplc="97F04440">
      <w:start w:val="1"/>
      <w:numFmt w:val="bullet"/>
      <w:lvlText w:val=""/>
      <w:lvlJc w:val="left"/>
      <w:pPr>
        <w:tabs>
          <w:tab w:val="num" w:pos="720"/>
        </w:tabs>
        <w:ind w:left="720" w:hanging="360"/>
      </w:pPr>
      <w:rPr>
        <w:rFonts w:ascii="Symbol" w:hAnsi="Symbol" w:hint="default"/>
      </w:rPr>
    </w:lvl>
    <w:lvl w:ilvl="1" w:tplc="B1B26A2A" w:tentative="1">
      <w:start w:val="1"/>
      <w:numFmt w:val="bullet"/>
      <w:lvlText w:val="o"/>
      <w:lvlJc w:val="left"/>
      <w:pPr>
        <w:ind w:left="1440" w:hanging="360"/>
      </w:pPr>
      <w:rPr>
        <w:rFonts w:ascii="Courier New" w:hAnsi="Courier New" w:cs="Courier New" w:hint="default"/>
      </w:rPr>
    </w:lvl>
    <w:lvl w:ilvl="2" w:tplc="3A38D7B0" w:tentative="1">
      <w:start w:val="1"/>
      <w:numFmt w:val="bullet"/>
      <w:lvlText w:val=""/>
      <w:lvlJc w:val="left"/>
      <w:pPr>
        <w:ind w:left="2160" w:hanging="360"/>
      </w:pPr>
      <w:rPr>
        <w:rFonts w:ascii="Wingdings" w:hAnsi="Wingdings" w:hint="default"/>
      </w:rPr>
    </w:lvl>
    <w:lvl w:ilvl="3" w:tplc="16C27B8C" w:tentative="1">
      <w:start w:val="1"/>
      <w:numFmt w:val="bullet"/>
      <w:lvlText w:val=""/>
      <w:lvlJc w:val="left"/>
      <w:pPr>
        <w:ind w:left="2880" w:hanging="360"/>
      </w:pPr>
      <w:rPr>
        <w:rFonts w:ascii="Symbol" w:hAnsi="Symbol" w:hint="default"/>
      </w:rPr>
    </w:lvl>
    <w:lvl w:ilvl="4" w:tplc="468CC9AC" w:tentative="1">
      <w:start w:val="1"/>
      <w:numFmt w:val="bullet"/>
      <w:lvlText w:val="o"/>
      <w:lvlJc w:val="left"/>
      <w:pPr>
        <w:ind w:left="3600" w:hanging="360"/>
      </w:pPr>
      <w:rPr>
        <w:rFonts w:ascii="Courier New" w:hAnsi="Courier New" w:cs="Courier New" w:hint="default"/>
      </w:rPr>
    </w:lvl>
    <w:lvl w:ilvl="5" w:tplc="867E0798" w:tentative="1">
      <w:start w:val="1"/>
      <w:numFmt w:val="bullet"/>
      <w:lvlText w:val=""/>
      <w:lvlJc w:val="left"/>
      <w:pPr>
        <w:ind w:left="4320" w:hanging="360"/>
      </w:pPr>
      <w:rPr>
        <w:rFonts w:ascii="Wingdings" w:hAnsi="Wingdings" w:hint="default"/>
      </w:rPr>
    </w:lvl>
    <w:lvl w:ilvl="6" w:tplc="A5400296" w:tentative="1">
      <w:start w:val="1"/>
      <w:numFmt w:val="bullet"/>
      <w:lvlText w:val=""/>
      <w:lvlJc w:val="left"/>
      <w:pPr>
        <w:ind w:left="5040" w:hanging="360"/>
      </w:pPr>
      <w:rPr>
        <w:rFonts w:ascii="Symbol" w:hAnsi="Symbol" w:hint="default"/>
      </w:rPr>
    </w:lvl>
    <w:lvl w:ilvl="7" w:tplc="84D8CFDA" w:tentative="1">
      <w:start w:val="1"/>
      <w:numFmt w:val="bullet"/>
      <w:lvlText w:val="o"/>
      <w:lvlJc w:val="left"/>
      <w:pPr>
        <w:ind w:left="5760" w:hanging="360"/>
      </w:pPr>
      <w:rPr>
        <w:rFonts w:ascii="Courier New" w:hAnsi="Courier New" w:cs="Courier New" w:hint="default"/>
      </w:rPr>
    </w:lvl>
    <w:lvl w:ilvl="8" w:tplc="6414F35A" w:tentative="1">
      <w:start w:val="1"/>
      <w:numFmt w:val="bullet"/>
      <w:lvlText w:val=""/>
      <w:lvlJc w:val="left"/>
      <w:pPr>
        <w:ind w:left="6480" w:hanging="360"/>
      </w:pPr>
      <w:rPr>
        <w:rFonts w:ascii="Wingdings" w:hAnsi="Wingdings" w:hint="default"/>
      </w:rPr>
    </w:lvl>
  </w:abstractNum>
  <w:abstractNum w:abstractNumId="4" w15:restartNumberingAfterBreak="0">
    <w:nsid w:val="414E0FC9"/>
    <w:multiLevelType w:val="hybridMultilevel"/>
    <w:tmpl w:val="6A2EE89E"/>
    <w:lvl w:ilvl="0" w:tplc="41A23DE4">
      <w:start w:val="1"/>
      <w:numFmt w:val="bullet"/>
      <w:lvlText w:val=""/>
      <w:lvlJc w:val="left"/>
      <w:pPr>
        <w:tabs>
          <w:tab w:val="num" w:pos="720"/>
        </w:tabs>
        <w:ind w:left="720" w:hanging="360"/>
      </w:pPr>
      <w:rPr>
        <w:rFonts w:ascii="Symbol" w:hAnsi="Symbol" w:hint="default"/>
      </w:rPr>
    </w:lvl>
    <w:lvl w:ilvl="1" w:tplc="E1A8AB0C" w:tentative="1">
      <w:start w:val="1"/>
      <w:numFmt w:val="bullet"/>
      <w:lvlText w:val="o"/>
      <w:lvlJc w:val="left"/>
      <w:pPr>
        <w:ind w:left="1440" w:hanging="360"/>
      </w:pPr>
      <w:rPr>
        <w:rFonts w:ascii="Courier New" w:hAnsi="Courier New" w:cs="Courier New" w:hint="default"/>
      </w:rPr>
    </w:lvl>
    <w:lvl w:ilvl="2" w:tplc="A0EACC9E" w:tentative="1">
      <w:start w:val="1"/>
      <w:numFmt w:val="bullet"/>
      <w:lvlText w:val=""/>
      <w:lvlJc w:val="left"/>
      <w:pPr>
        <w:ind w:left="2160" w:hanging="360"/>
      </w:pPr>
      <w:rPr>
        <w:rFonts w:ascii="Wingdings" w:hAnsi="Wingdings" w:hint="default"/>
      </w:rPr>
    </w:lvl>
    <w:lvl w:ilvl="3" w:tplc="6E1A5606" w:tentative="1">
      <w:start w:val="1"/>
      <w:numFmt w:val="bullet"/>
      <w:lvlText w:val=""/>
      <w:lvlJc w:val="left"/>
      <w:pPr>
        <w:ind w:left="2880" w:hanging="360"/>
      </w:pPr>
      <w:rPr>
        <w:rFonts w:ascii="Symbol" w:hAnsi="Symbol" w:hint="default"/>
      </w:rPr>
    </w:lvl>
    <w:lvl w:ilvl="4" w:tplc="9FD65D40" w:tentative="1">
      <w:start w:val="1"/>
      <w:numFmt w:val="bullet"/>
      <w:lvlText w:val="o"/>
      <w:lvlJc w:val="left"/>
      <w:pPr>
        <w:ind w:left="3600" w:hanging="360"/>
      </w:pPr>
      <w:rPr>
        <w:rFonts w:ascii="Courier New" w:hAnsi="Courier New" w:cs="Courier New" w:hint="default"/>
      </w:rPr>
    </w:lvl>
    <w:lvl w:ilvl="5" w:tplc="CDCA764A" w:tentative="1">
      <w:start w:val="1"/>
      <w:numFmt w:val="bullet"/>
      <w:lvlText w:val=""/>
      <w:lvlJc w:val="left"/>
      <w:pPr>
        <w:ind w:left="4320" w:hanging="360"/>
      </w:pPr>
      <w:rPr>
        <w:rFonts w:ascii="Wingdings" w:hAnsi="Wingdings" w:hint="default"/>
      </w:rPr>
    </w:lvl>
    <w:lvl w:ilvl="6" w:tplc="8D2E964C" w:tentative="1">
      <w:start w:val="1"/>
      <w:numFmt w:val="bullet"/>
      <w:lvlText w:val=""/>
      <w:lvlJc w:val="left"/>
      <w:pPr>
        <w:ind w:left="5040" w:hanging="360"/>
      </w:pPr>
      <w:rPr>
        <w:rFonts w:ascii="Symbol" w:hAnsi="Symbol" w:hint="default"/>
      </w:rPr>
    </w:lvl>
    <w:lvl w:ilvl="7" w:tplc="6AB8A332" w:tentative="1">
      <w:start w:val="1"/>
      <w:numFmt w:val="bullet"/>
      <w:lvlText w:val="o"/>
      <w:lvlJc w:val="left"/>
      <w:pPr>
        <w:ind w:left="5760" w:hanging="360"/>
      </w:pPr>
      <w:rPr>
        <w:rFonts w:ascii="Courier New" w:hAnsi="Courier New" w:cs="Courier New" w:hint="default"/>
      </w:rPr>
    </w:lvl>
    <w:lvl w:ilvl="8" w:tplc="1F3A7508" w:tentative="1">
      <w:start w:val="1"/>
      <w:numFmt w:val="bullet"/>
      <w:lvlText w:val=""/>
      <w:lvlJc w:val="left"/>
      <w:pPr>
        <w:ind w:left="6480" w:hanging="360"/>
      </w:pPr>
      <w:rPr>
        <w:rFonts w:ascii="Wingdings" w:hAnsi="Wingdings" w:hint="default"/>
      </w:rPr>
    </w:lvl>
  </w:abstractNum>
  <w:abstractNum w:abstractNumId="5" w15:restartNumberingAfterBreak="0">
    <w:nsid w:val="44007059"/>
    <w:multiLevelType w:val="hybridMultilevel"/>
    <w:tmpl w:val="D7242624"/>
    <w:lvl w:ilvl="0" w:tplc="E53A98D2">
      <w:start w:val="1"/>
      <w:numFmt w:val="bullet"/>
      <w:lvlText w:val="o"/>
      <w:lvlJc w:val="left"/>
      <w:pPr>
        <w:tabs>
          <w:tab w:val="num" w:pos="1800"/>
        </w:tabs>
        <w:ind w:left="1800" w:hanging="360"/>
      </w:pPr>
      <w:rPr>
        <w:rFonts w:ascii="Courier New" w:hAnsi="Courier New" w:cs="Courier New" w:hint="default"/>
      </w:rPr>
    </w:lvl>
    <w:lvl w:ilvl="1" w:tplc="60C4D6BC" w:tentative="1">
      <w:start w:val="1"/>
      <w:numFmt w:val="bullet"/>
      <w:lvlText w:val="o"/>
      <w:lvlJc w:val="left"/>
      <w:pPr>
        <w:ind w:left="2520" w:hanging="360"/>
      </w:pPr>
      <w:rPr>
        <w:rFonts w:ascii="Courier New" w:hAnsi="Courier New" w:cs="Courier New" w:hint="default"/>
      </w:rPr>
    </w:lvl>
    <w:lvl w:ilvl="2" w:tplc="67C6AC82" w:tentative="1">
      <w:start w:val="1"/>
      <w:numFmt w:val="bullet"/>
      <w:lvlText w:val=""/>
      <w:lvlJc w:val="left"/>
      <w:pPr>
        <w:ind w:left="3240" w:hanging="360"/>
      </w:pPr>
      <w:rPr>
        <w:rFonts w:ascii="Wingdings" w:hAnsi="Wingdings" w:hint="default"/>
      </w:rPr>
    </w:lvl>
    <w:lvl w:ilvl="3" w:tplc="7BBC6E3E" w:tentative="1">
      <w:start w:val="1"/>
      <w:numFmt w:val="bullet"/>
      <w:lvlText w:val=""/>
      <w:lvlJc w:val="left"/>
      <w:pPr>
        <w:ind w:left="3960" w:hanging="360"/>
      </w:pPr>
      <w:rPr>
        <w:rFonts w:ascii="Symbol" w:hAnsi="Symbol" w:hint="default"/>
      </w:rPr>
    </w:lvl>
    <w:lvl w:ilvl="4" w:tplc="B4C8DE6A" w:tentative="1">
      <w:start w:val="1"/>
      <w:numFmt w:val="bullet"/>
      <w:lvlText w:val="o"/>
      <w:lvlJc w:val="left"/>
      <w:pPr>
        <w:ind w:left="4680" w:hanging="360"/>
      </w:pPr>
      <w:rPr>
        <w:rFonts w:ascii="Courier New" w:hAnsi="Courier New" w:cs="Courier New" w:hint="default"/>
      </w:rPr>
    </w:lvl>
    <w:lvl w:ilvl="5" w:tplc="0CA45150" w:tentative="1">
      <w:start w:val="1"/>
      <w:numFmt w:val="bullet"/>
      <w:lvlText w:val=""/>
      <w:lvlJc w:val="left"/>
      <w:pPr>
        <w:ind w:left="5400" w:hanging="360"/>
      </w:pPr>
      <w:rPr>
        <w:rFonts w:ascii="Wingdings" w:hAnsi="Wingdings" w:hint="default"/>
      </w:rPr>
    </w:lvl>
    <w:lvl w:ilvl="6" w:tplc="0136E3EE" w:tentative="1">
      <w:start w:val="1"/>
      <w:numFmt w:val="bullet"/>
      <w:lvlText w:val=""/>
      <w:lvlJc w:val="left"/>
      <w:pPr>
        <w:ind w:left="6120" w:hanging="360"/>
      </w:pPr>
      <w:rPr>
        <w:rFonts w:ascii="Symbol" w:hAnsi="Symbol" w:hint="default"/>
      </w:rPr>
    </w:lvl>
    <w:lvl w:ilvl="7" w:tplc="D5244E96" w:tentative="1">
      <w:start w:val="1"/>
      <w:numFmt w:val="bullet"/>
      <w:lvlText w:val="o"/>
      <w:lvlJc w:val="left"/>
      <w:pPr>
        <w:ind w:left="6840" w:hanging="360"/>
      </w:pPr>
      <w:rPr>
        <w:rFonts w:ascii="Courier New" w:hAnsi="Courier New" w:cs="Courier New" w:hint="default"/>
      </w:rPr>
    </w:lvl>
    <w:lvl w:ilvl="8" w:tplc="2F486B66" w:tentative="1">
      <w:start w:val="1"/>
      <w:numFmt w:val="bullet"/>
      <w:lvlText w:val=""/>
      <w:lvlJc w:val="left"/>
      <w:pPr>
        <w:ind w:left="7560" w:hanging="360"/>
      </w:pPr>
      <w:rPr>
        <w:rFonts w:ascii="Wingdings" w:hAnsi="Wingdings" w:hint="default"/>
      </w:rPr>
    </w:lvl>
  </w:abstractNum>
  <w:abstractNum w:abstractNumId="6" w15:restartNumberingAfterBreak="0">
    <w:nsid w:val="536C0AEA"/>
    <w:multiLevelType w:val="hybridMultilevel"/>
    <w:tmpl w:val="A4CC989A"/>
    <w:lvl w:ilvl="0" w:tplc="2ED4BF4A">
      <w:start w:val="1"/>
      <w:numFmt w:val="bullet"/>
      <w:lvlText w:val=""/>
      <w:lvlJc w:val="left"/>
      <w:pPr>
        <w:tabs>
          <w:tab w:val="num" w:pos="720"/>
        </w:tabs>
        <w:ind w:left="720" w:hanging="360"/>
      </w:pPr>
      <w:rPr>
        <w:rFonts w:ascii="Symbol" w:hAnsi="Symbol" w:hint="default"/>
      </w:rPr>
    </w:lvl>
    <w:lvl w:ilvl="1" w:tplc="02CC859E" w:tentative="1">
      <w:start w:val="1"/>
      <w:numFmt w:val="bullet"/>
      <w:lvlText w:val="o"/>
      <w:lvlJc w:val="left"/>
      <w:pPr>
        <w:ind w:left="1440" w:hanging="360"/>
      </w:pPr>
      <w:rPr>
        <w:rFonts w:ascii="Courier New" w:hAnsi="Courier New" w:cs="Courier New" w:hint="default"/>
      </w:rPr>
    </w:lvl>
    <w:lvl w:ilvl="2" w:tplc="768AEFBE" w:tentative="1">
      <w:start w:val="1"/>
      <w:numFmt w:val="bullet"/>
      <w:lvlText w:val=""/>
      <w:lvlJc w:val="left"/>
      <w:pPr>
        <w:ind w:left="2160" w:hanging="360"/>
      </w:pPr>
      <w:rPr>
        <w:rFonts w:ascii="Wingdings" w:hAnsi="Wingdings" w:hint="default"/>
      </w:rPr>
    </w:lvl>
    <w:lvl w:ilvl="3" w:tplc="EF16E414" w:tentative="1">
      <w:start w:val="1"/>
      <w:numFmt w:val="bullet"/>
      <w:lvlText w:val=""/>
      <w:lvlJc w:val="left"/>
      <w:pPr>
        <w:ind w:left="2880" w:hanging="360"/>
      </w:pPr>
      <w:rPr>
        <w:rFonts w:ascii="Symbol" w:hAnsi="Symbol" w:hint="default"/>
      </w:rPr>
    </w:lvl>
    <w:lvl w:ilvl="4" w:tplc="8B023DB4" w:tentative="1">
      <w:start w:val="1"/>
      <w:numFmt w:val="bullet"/>
      <w:lvlText w:val="o"/>
      <w:lvlJc w:val="left"/>
      <w:pPr>
        <w:ind w:left="3600" w:hanging="360"/>
      </w:pPr>
      <w:rPr>
        <w:rFonts w:ascii="Courier New" w:hAnsi="Courier New" w:cs="Courier New" w:hint="default"/>
      </w:rPr>
    </w:lvl>
    <w:lvl w:ilvl="5" w:tplc="99B093FE" w:tentative="1">
      <w:start w:val="1"/>
      <w:numFmt w:val="bullet"/>
      <w:lvlText w:val=""/>
      <w:lvlJc w:val="left"/>
      <w:pPr>
        <w:ind w:left="4320" w:hanging="360"/>
      </w:pPr>
      <w:rPr>
        <w:rFonts w:ascii="Wingdings" w:hAnsi="Wingdings" w:hint="default"/>
      </w:rPr>
    </w:lvl>
    <w:lvl w:ilvl="6" w:tplc="E2C2CD46" w:tentative="1">
      <w:start w:val="1"/>
      <w:numFmt w:val="bullet"/>
      <w:lvlText w:val=""/>
      <w:lvlJc w:val="left"/>
      <w:pPr>
        <w:ind w:left="5040" w:hanging="360"/>
      </w:pPr>
      <w:rPr>
        <w:rFonts w:ascii="Symbol" w:hAnsi="Symbol" w:hint="default"/>
      </w:rPr>
    </w:lvl>
    <w:lvl w:ilvl="7" w:tplc="81D06710" w:tentative="1">
      <w:start w:val="1"/>
      <w:numFmt w:val="bullet"/>
      <w:lvlText w:val="o"/>
      <w:lvlJc w:val="left"/>
      <w:pPr>
        <w:ind w:left="5760" w:hanging="360"/>
      </w:pPr>
      <w:rPr>
        <w:rFonts w:ascii="Courier New" w:hAnsi="Courier New" w:cs="Courier New" w:hint="default"/>
      </w:rPr>
    </w:lvl>
    <w:lvl w:ilvl="8" w:tplc="52CCC4C4" w:tentative="1">
      <w:start w:val="1"/>
      <w:numFmt w:val="bullet"/>
      <w:lvlText w:val=""/>
      <w:lvlJc w:val="left"/>
      <w:pPr>
        <w:ind w:left="6480" w:hanging="360"/>
      </w:pPr>
      <w:rPr>
        <w:rFonts w:ascii="Wingdings" w:hAnsi="Wingdings" w:hint="default"/>
      </w:rPr>
    </w:lvl>
  </w:abstractNum>
  <w:abstractNum w:abstractNumId="7" w15:restartNumberingAfterBreak="0">
    <w:nsid w:val="62B517A6"/>
    <w:multiLevelType w:val="hybridMultilevel"/>
    <w:tmpl w:val="C09CBB24"/>
    <w:lvl w:ilvl="0" w:tplc="8AAC63CE">
      <w:start w:val="1"/>
      <w:numFmt w:val="bullet"/>
      <w:lvlText w:val=""/>
      <w:lvlJc w:val="left"/>
      <w:pPr>
        <w:tabs>
          <w:tab w:val="num" w:pos="720"/>
        </w:tabs>
        <w:ind w:left="720" w:hanging="360"/>
      </w:pPr>
      <w:rPr>
        <w:rFonts w:ascii="Symbol" w:hAnsi="Symbol" w:hint="default"/>
      </w:rPr>
    </w:lvl>
    <w:lvl w:ilvl="1" w:tplc="602286B2" w:tentative="1">
      <w:start w:val="1"/>
      <w:numFmt w:val="bullet"/>
      <w:lvlText w:val="o"/>
      <w:lvlJc w:val="left"/>
      <w:pPr>
        <w:ind w:left="1440" w:hanging="360"/>
      </w:pPr>
      <w:rPr>
        <w:rFonts w:ascii="Courier New" w:hAnsi="Courier New" w:cs="Courier New" w:hint="default"/>
      </w:rPr>
    </w:lvl>
    <w:lvl w:ilvl="2" w:tplc="D9BC9F48" w:tentative="1">
      <w:start w:val="1"/>
      <w:numFmt w:val="bullet"/>
      <w:lvlText w:val=""/>
      <w:lvlJc w:val="left"/>
      <w:pPr>
        <w:ind w:left="2160" w:hanging="360"/>
      </w:pPr>
      <w:rPr>
        <w:rFonts w:ascii="Wingdings" w:hAnsi="Wingdings" w:hint="default"/>
      </w:rPr>
    </w:lvl>
    <w:lvl w:ilvl="3" w:tplc="3E5CAE80" w:tentative="1">
      <w:start w:val="1"/>
      <w:numFmt w:val="bullet"/>
      <w:lvlText w:val=""/>
      <w:lvlJc w:val="left"/>
      <w:pPr>
        <w:ind w:left="2880" w:hanging="360"/>
      </w:pPr>
      <w:rPr>
        <w:rFonts w:ascii="Symbol" w:hAnsi="Symbol" w:hint="default"/>
      </w:rPr>
    </w:lvl>
    <w:lvl w:ilvl="4" w:tplc="E228C436" w:tentative="1">
      <w:start w:val="1"/>
      <w:numFmt w:val="bullet"/>
      <w:lvlText w:val="o"/>
      <w:lvlJc w:val="left"/>
      <w:pPr>
        <w:ind w:left="3600" w:hanging="360"/>
      </w:pPr>
      <w:rPr>
        <w:rFonts w:ascii="Courier New" w:hAnsi="Courier New" w:cs="Courier New" w:hint="default"/>
      </w:rPr>
    </w:lvl>
    <w:lvl w:ilvl="5" w:tplc="D450B5CE" w:tentative="1">
      <w:start w:val="1"/>
      <w:numFmt w:val="bullet"/>
      <w:lvlText w:val=""/>
      <w:lvlJc w:val="left"/>
      <w:pPr>
        <w:ind w:left="4320" w:hanging="360"/>
      </w:pPr>
      <w:rPr>
        <w:rFonts w:ascii="Wingdings" w:hAnsi="Wingdings" w:hint="default"/>
      </w:rPr>
    </w:lvl>
    <w:lvl w:ilvl="6" w:tplc="4C305F1C" w:tentative="1">
      <w:start w:val="1"/>
      <w:numFmt w:val="bullet"/>
      <w:lvlText w:val=""/>
      <w:lvlJc w:val="left"/>
      <w:pPr>
        <w:ind w:left="5040" w:hanging="360"/>
      </w:pPr>
      <w:rPr>
        <w:rFonts w:ascii="Symbol" w:hAnsi="Symbol" w:hint="default"/>
      </w:rPr>
    </w:lvl>
    <w:lvl w:ilvl="7" w:tplc="1C34530C" w:tentative="1">
      <w:start w:val="1"/>
      <w:numFmt w:val="bullet"/>
      <w:lvlText w:val="o"/>
      <w:lvlJc w:val="left"/>
      <w:pPr>
        <w:ind w:left="5760" w:hanging="360"/>
      </w:pPr>
      <w:rPr>
        <w:rFonts w:ascii="Courier New" w:hAnsi="Courier New" w:cs="Courier New" w:hint="default"/>
      </w:rPr>
    </w:lvl>
    <w:lvl w:ilvl="8" w:tplc="442A73CC" w:tentative="1">
      <w:start w:val="1"/>
      <w:numFmt w:val="bullet"/>
      <w:lvlText w:val=""/>
      <w:lvlJc w:val="left"/>
      <w:pPr>
        <w:ind w:left="6480" w:hanging="360"/>
      </w:pPr>
      <w:rPr>
        <w:rFonts w:ascii="Wingdings" w:hAnsi="Wingdings" w:hint="default"/>
      </w:rPr>
    </w:lvl>
  </w:abstractNum>
  <w:abstractNum w:abstractNumId="8" w15:restartNumberingAfterBreak="0">
    <w:nsid w:val="75BB46E2"/>
    <w:multiLevelType w:val="hybridMultilevel"/>
    <w:tmpl w:val="45509F02"/>
    <w:lvl w:ilvl="0" w:tplc="F09AC9FE">
      <w:start w:val="1"/>
      <w:numFmt w:val="bullet"/>
      <w:lvlText w:val=""/>
      <w:lvlJc w:val="left"/>
      <w:pPr>
        <w:tabs>
          <w:tab w:val="num" w:pos="720"/>
        </w:tabs>
        <w:ind w:left="720" w:hanging="360"/>
      </w:pPr>
      <w:rPr>
        <w:rFonts w:ascii="Symbol" w:hAnsi="Symbol" w:hint="default"/>
      </w:rPr>
    </w:lvl>
    <w:lvl w:ilvl="1" w:tplc="D0E6BA4A" w:tentative="1">
      <w:start w:val="1"/>
      <w:numFmt w:val="bullet"/>
      <w:lvlText w:val="o"/>
      <w:lvlJc w:val="left"/>
      <w:pPr>
        <w:ind w:left="1440" w:hanging="360"/>
      </w:pPr>
      <w:rPr>
        <w:rFonts w:ascii="Courier New" w:hAnsi="Courier New" w:cs="Courier New" w:hint="default"/>
      </w:rPr>
    </w:lvl>
    <w:lvl w:ilvl="2" w:tplc="1E22823C" w:tentative="1">
      <w:start w:val="1"/>
      <w:numFmt w:val="bullet"/>
      <w:lvlText w:val=""/>
      <w:lvlJc w:val="left"/>
      <w:pPr>
        <w:ind w:left="2160" w:hanging="360"/>
      </w:pPr>
      <w:rPr>
        <w:rFonts w:ascii="Wingdings" w:hAnsi="Wingdings" w:hint="default"/>
      </w:rPr>
    </w:lvl>
    <w:lvl w:ilvl="3" w:tplc="D8C0ECA8" w:tentative="1">
      <w:start w:val="1"/>
      <w:numFmt w:val="bullet"/>
      <w:lvlText w:val=""/>
      <w:lvlJc w:val="left"/>
      <w:pPr>
        <w:ind w:left="2880" w:hanging="360"/>
      </w:pPr>
      <w:rPr>
        <w:rFonts w:ascii="Symbol" w:hAnsi="Symbol" w:hint="default"/>
      </w:rPr>
    </w:lvl>
    <w:lvl w:ilvl="4" w:tplc="68922D74" w:tentative="1">
      <w:start w:val="1"/>
      <w:numFmt w:val="bullet"/>
      <w:lvlText w:val="o"/>
      <w:lvlJc w:val="left"/>
      <w:pPr>
        <w:ind w:left="3600" w:hanging="360"/>
      </w:pPr>
      <w:rPr>
        <w:rFonts w:ascii="Courier New" w:hAnsi="Courier New" w:cs="Courier New" w:hint="default"/>
      </w:rPr>
    </w:lvl>
    <w:lvl w:ilvl="5" w:tplc="17406BEA" w:tentative="1">
      <w:start w:val="1"/>
      <w:numFmt w:val="bullet"/>
      <w:lvlText w:val=""/>
      <w:lvlJc w:val="left"/>
      <w:pPr>
        <w:ind w:left="4320" w:hanging="360"/>
      </w:pPr>
      <w:rPr>
        <w:rFonts w:ascii="Wingdings" w:hAnsi="Wingdings" w:hint="default"/>
      </w:rPr>
    </w:lvl>
    <w:lvl w:ilvl="6" w:tplc="860E60AE" w:tentative="1">
      <w:start w:val="1"/>
      <w:numFmt w:val="bullet"/>
      <w:lvlText w:val=""/>
      <w:lvlJc w:val="left"/>
      <w:pPr>
        <w:ind w:left="5040" w:hanging="360"/>
      </w:pPr>
      <w:rPr>
        <w:rFonts w:ascii="Symbol" w:hAnsi="Symbol" w:hint="default"/>
      </w:rPr>
    </w:lvl>
    <w:lvl w:ilvl="7" w:tplc="8D22C620" w:tentative="1">
      <w:start w:val="1"/>
      <w:numFmt w:val="bullet"/>
      <w:lvlText w:val="o"/>
      <w:lvlJc w:val="left"/>
      <w:pPr>
        <w:ind w:left="5760" w:hanging="360"/>
      </w:pPr>
      <w:rPr>
        <w:rFonts w:ascii="Courier New" w:hAnsi="Courier New" w:cs="Courier New" w:hint="default"/>
      </w:rPr>
    </w:lvl>
    <w:lvl w:ilvl="8" w:tplc="2C02D116" w:tentative="1">
      <w:start w:val="1"/>
      <w:numFmt w:val="bullet"/>
      <w:lvlText w:val=""/>
      <w:lvlJc w:val="left"/>
      <w:pPr>
        <w:ind w:left="6480" w:hanging="360"/>
      </w:pPr>
      <w:rPr>
        <w:rFonts w:ascii="Wingdings" w:hAnsi="Wingdings" w:hint="default"/>
      </w:rPr>
    </w:lvl>
  </w:abstractNum>
  <w:abstractNum w:abstractNumId="9" w15:restartNumberingAfterBreak="0">
    <w:nsid w:val="7F2A38B0"/>
    <w:multiLevelType w:val="hybridMultilevel"/>
    <w:tmpl w:val="D8CA49A0"/>
    <w:lvl w:ilvl="0" w:tplc="B5EE0F3A">
      <w:start w:val="1"/>
      <w:numFmt w:val="bullet"/>
      <w:lvlText w:val=""/>
      <w:lvlJc w:val="left"/>
      <w:pPr>
        <w:tabs>
          <w:tab w:val="num" w:pos="720"/>
        </w:tabs>
        <w:ind w:left="720" w:hanging="360"/>
      </w:pPr>
      <w:rPr>
        <w:rFonts w:ascii="Symbol" w:hAnsi="Symbol" w:hint="default"/>
      </w:rPr>
    </w:lvl>
    <w:lvl w:ilvl="1" w:tplc="9DDCA3DE" w:tentative="1">
      <w:start w:val="1"/>
      <w:numFmt w:val="bullet"/>
      <w:lvlText w:val="o"/>
      <w:lvlJc w:val="left"/>
      <w:pPr>
        <w:ind w:left="1440" w:hanging="360"/>
      </w:pPr>
      <w:rPr>
        <w:rFonts w:ascii="Courier New" w:hAnsi="Courier New" w:cs="Courier New" w:hint="default"/>
      </w:rPr>
    </w:lvl>
    <w:lvl w:ilvl="2" w:tplc="1C74EC30" w:tentative="1">
      <w:start w:val="1"/>
      <w:numFmt w:val="bullet"/>
      <w:lvlText w:val=""/>
      <w:lvlJc w:val="left"/>
      <w:pPr>
        <w:ind w:left="2160" w:hanging="360"/>
      </w:pPr>
      <w:rPr>
        <w:rFonts w:ascii="Wingdings" w:hAnsi="Wingdings" w:hint="default"/>
      </w:rPr>
    </w:lvl>
    <w:lvl w:ilvl="3" w:tplc="75A26796" w:tentative="1">
      <w:start w:val="1"/>
      <w:numFmt w:val="bullet"/>
      <w:lvlText w:val=""/>
      <w:lvlJc w:val="left"/>
      <w:pPr>
        <w:ind w:left="2880" w:hanging="360"/>
      </w:pPr>
      <w:rPr>
        <w:rFonts w:ascii="Symbol" w:hAnsi="Symbol" w:hint="default"/>
      </w:rPr>
    </w:lvl>
    <w:lvl w:ilvl="4" w:tplc="79CE34F6" w:tentative="1">
      <w:start w:val="1"/>
      <w:numFmt w:val="bullet"/>
      <w:lvlText w:val="o"/>
      <w:lvlJc w:val="left"/>
      <w:pPr>
        <w:ind w:left="3600" w:hanging="360"/>
      </w:pPr>
      <w:rPr>
        <w:rFonts w:ascii="Courier New" w:hAnsi="Courier New" w:cs="Courier New" w:hint="default"/>
      </w:rPr>
    </w:lvl>
    <w:lvl w:ilvl="5" w:tplc="306E372E" w:tentative="1">
      <w:start w:val="1"/>
      <w:numFmt w:val="bullet"/>
      <w:lvlText w:val=""/>
      <w:lvlJc w:val="left"/>
      <w:pPr>
        <w:ind w:left="4320" w:hanging="360"/>
      </w:pPr>
      <w:rPr>
        <w:rFonts w:ascii="Wingdings" w:hAnsi="Wingdings" w:hint="default"/>
      </w:rPr>
    </w:lvl>
    <w:lvl w:ilvl="6" w:tplc="3E8ABD2E" w:tentative="1">
      <w:start w:val="1"/>
      <w:numFmt w:val="bullet"/>
      <w:lvlText w:val=""/>
      <w:lvlJc w:val="left"/>
      <w:pPr>
        <w:ind w:left="5040" w:hanging="360"/>
      </w:pPr>
      <w:rPr>
        <w:rFonts w:ascii="Symbol" w:hAnsi="Symbol" w:hint="default"/>
      </w:rPr>
    </w:lvl>
    <w:lvl w:ilvl="7" w:tplc="37867528" w:tentative="1">
      <w:start w:val="1"/>
      <w:numFmt w:val="bullet"/>
      <w:lvlText w:val="o"/>
      <w:lvlJc w:val="left"/>
      <w:pPr>
        <w:ind w:left="5760" w:hanging="360"/>
      </w:pPr>
      <w:rPr>
        <w:rFonts w:ascii="Courier New" w:hAnsi="Courier New" w:cs="Courier New" w:hint="default"/>
      </w:rPr>
    </w:lvl>
    <w:lvl w:ilvl="8" w:tplc="FEEC6246" w:tentative="1">
      <w:start w:val="1"/>
      <w:numFmt w:val="bullet"/>
      <w:lvlText w:val=""/>
      <w:lvlJc w:val="left"/>
      <w:pPr>
        <w:ind w:left="6480" w:hanging="360"/>
      </w:pPr>
      <w:rPr>
        <w:rFonts w:ascii="Wingdings" w:hAnsi="Wingdings" w:hint="default"/>
      </w:rPr>
    </w:lvl>
  </w:abstractNum>
  <w:num w:numId="1" w16cid:durableId="470752824">
    <w:abstractNumId w:val="2"/>
  </w:num>
  <w:num w:numId="2" w16cid:durableId="402066241">
    <w:abstractNumId w:val="1"/>
  </w:num>
  <w:num w:numId="3" w16cid:durableId="324551503">
    <w:abstractNumId w:val="5"/>
  </w:num>
  <w:num w:numId="4" w16cid:durableId="1123305507">
    <w:abstractNumId w:val="7"/>
  </w:num>
  <w:num w:numId="5" w16cid:durableId="886599275">
    <w:abstractNumId w:val="6"/>
  </w:num>
  <w:num w:numId="6" w16cid:durableId="1909418927">
    <w:abstractNumId w:val="4"/>
  </w:num>
  <w:num w:numId="7" w16cid:durableId="23484156">
    <w:abstractNumId w:val="3"/>
  </w:num>
  <w:num w:numId="8" w16cid:durableId="1669597797">
    <w:abstractNumId w:val="8"/>
  </w:num>
  <w:num w:numId="9" w16cid:durableId="352070564">
    <w:abstractNumId w:val="0"/>
  </w:num>
  <w:num w:numId="10" w16cid:durableId="19974163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A4"/>
    <w:rsid w:val="00000A70"/>
    <w:rsid w:val="000032B8"/>
    <w:rsid w:val="00003B06"/>
    <w:rsid w:val="000054B9"/>
    <w:rsid w:val="00007461"/>
    <w:rsid w:val="000107AC"/>
    <w:rsid w:val="0001117E"/>
    <w:rsid w:val="0001125F"/>
    <w:rsid w:val="0001338E"/>
    <w:rsid w:val="00013D24"/>
    <w:rsid w:val="00014AF0"/>
    <w:rsid w:val="000155D6"/>
    <w:rsid w:val="00015D4E"/>
    <w:rsid w:val="00020C1E"/>
    <w:rsid w:val="00020E9B"/>
    <w:rsid w:val="0002351A"/>
    <w:rsid w:val="000236C1"/>
    <w:rsid w:val="000236EC"/>
    <w:rsid w:val="0002413D"/>
    <w:rsid w:val="000249F2"/>
    <w:rsid w:val="00027E81"/>
    <w:rsid w:val="00030AD8"/>
    <w:rsid w:val="0003107A"/>
    <w:rsid w:val="00031C95"/>
    <w:rsid w:val="000330D4"/>
    <w:rsid w:val="0003572D"/>
    <w:rsid w:val="00035DB0"/>
    <w:rsid w:val="00037088"/>
    <w:rsid w:val="000400D5"/>
    <w:rsid w:val="00040E8D"/>
    <w:rsid w:val="00043B84"/>
    <w:rsid w:val="0004512B"/>
    <w:rsid w:val="000463F0"/>
    <w:rsid w:val="00046BDA"/>
    <w:rsid w:val="0004762E"/>
    <w:rsid w:val="000532BD"/>
    <w:rsid w:val="000555E0"/>
    <w:rsid w:val="00055C12"/>
    <w:rsid w:val="00056B1A"/>
    <w:rsid w:val="000608B0"/>
    <w:rsid w:val="0006104C"/>
    <w:rsid w:val="00062FEB"/>
    <w:rsid w:val="00064BF2"/>
    <w:rsid w:val="000667BA"/>
    <w:rsid w:val="000676A7"/>
    <w:rsid w:val="000711F8"/>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35D8"/>
    <w:rsid w:val="000C49DA"/>
    <w:rsid w:val="000C4B3D"/>
    <w:rsid w:val="000C6DC1"/>
    <w:rsid w:val="000C6E20"/>
    <w:rsid w:val="000C76D7"/>
    <w:rsid w:val="000C7F1D"/>
    <w:rsid w:val="000D2EBA"/>
    <w:rsid w:val="000D32A1"/>
    <w:rsid w:val="000D3725"/>
    <w:rsid w:val="000D46E5"/>
    <w:rsid w:val="000D769C"/>
    <w:rsid w:val="000E17EC"/>
    <w:rsid w:val="000E1976"/>
    <w:rsid w:val="000E20F1"/>
    <w:rsid w:val="000E5448"/>
    <w:rsid w:val="000E5B20"/>
    <w:rsid w:val="000E7C14"/>
    <w:rsid w:val="000F094C"/>
    <w:rsid w:val="000F1392"/>
    <w:rsid w:val="000F18A2"/>
    <w:rsid w:val="000F2A7F"/>
    <w:rsid w:val="000F3DBD"/>
    <w:rsid w:val="000F5843"/>
    <w:rsid w:val="000F6A06"/>
    <w:rsid w:val="001008A4"/>
    <w:rsid w:val="00101290"/>
    <w:rsid w:val="0010154D"/>
    <w:rsid w:val="00102D3F"/>
    <w:rsid w:val="00102EC7"/>
    <w:rsid w:val="0010347D"/>
    <w:rsid w:val="00110F8C"/>
    <w:rsid w:val="0011274A"/>
    <w:rsid w:val="00113522"/>
    <w:rsid w:val="0011378D"/>
    <w:rsid w:val="00115EE9"/>
    <w:rsid w:val="001169F9"/>
    <w:rsid w:val="00120797"/>
    <w:rsid w:val="0012100A"/>
    <w:rsid w:val="001218D2"/>
    <w:rsid w:val="0012371B"/>
    <w:rsid w:val="001245C8"/>
    <w:rsid w:val="00124653"/>
    <w:rsid w:val="001247C5"/>
    <w:rsid w:val="00127893"/>
    <w:rsid w:val="001312BB"/>
    <w:rsid w:val="00137D90"/>
    <w:rsid w:val="00141FB6"/>
    <w:rsid w:val="00142F8E"/>
    <w:rsid w:val="00143C8B"/>
    <w:rsid w:val="00147530"/>
    <w:rsid w:val="001512C4"/>
    <w:rsid w:val="0015331F"/>
    <w:rsid w:val="00156AB2"/>
    <w:rsid w:val="00160402"/>
    <w:rsid w:val="00160571"/>
    <w:rsid w:val="00161E93"/>
    <w:rsid w:val="00162C7A"/>
    <w:rsid w:val="00162DAE"/>
    <w:rsid w:val="001639C5"/>
    <w:rsid w:val="00163E45"/>
    <w:rsid w:val="00165828"/>
    <w:rsid w:val="001664C2"/>
    <w:rsid w:val="001707B8"/>
    <w:rsid w:val="00171BF2"/>
    <w:rsid w:val="00172818"/>
    <w:rsid w:val="0017347B"/>
    <w:rsid w:val="0017725B"/>
    <w:rsid w:val="0018050C"/>
    <w:rsid w:val="0018117F"/>
    <w:rsid w:val="001824ED"/>
    <w:rsid w:val="00183262"/>
    <w:rsid w:val="0018478F"/>
    <w:rsid w:val="00184B03"/>
    <w:rsid w:val="00185C59"/>
    <w:rsid w:val="00187C1B"/>
    <w:rsid w:val="00190591"/>
    <w:rsid w:val="001908AC"/>
    <w:rsid w:val="00190CFB"/>
    <w:rsid w:val="0019457A"/>
    <w:rsid w:val="00195257"/>
    <w:rsid w:val="00195388"/>
    <w:rsid w:val="0019539E"/>
    <w:rsid w:val="001968BC"/>
    <w:rsid w:val="001A0739"/>
    <w:rsid w:val="001A0F00"/>
    <w:rsid w:val="001A2BDD"/>
    <w:rsid w:val="001A3DDF"/>
    <w:rsid w:val="001A4310"/>
    <w:rsid w:val="001B053A"/>
    <w:rsid w:val="001B0E88"/>
    <w:rsid w:val="001B26D8"/>
    <w:rsid w:val="001B3BFA"/>
    <w:rsid w:val="001B75B8"/>
    <w:rsid w:val="001C0E7F"/>
    <w:rsid w:val="001C1230"/>
    <w:rsid w:val="001C324D"/>
    <w:rsid w:val="001C60B5"/>
    <w:rsid w:val="001C61B0"/>
    <w:rsid w:val="001C7957"/>
    <w:rsid w:val="001C7DB8"/>
    <w:rsid w:val="001C7EA8"/>
    <w:rsid w:val="001D1711"/>
    <w:rsid w:val="001D2A01"/>
    <w:rsid w:val="001D2EF6"/>
    <w:rsid w:val="001D37A8"/>
    <w:rsid w:val="001D462E"/>
    <w:rsid w:val="001E260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150B"/>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87899"/>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3847"/>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04B"/>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4CEE"/>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045D"/>
    <w:rsid w:val="003847E8"/>
    <w:rsid w:val="0038731D"/>
    <w:rsid w:val="00387B60"/>
    <w:rsid w:val="00387CF7"/>
    <w:rsid w:val="00390098"/>
    <w:rsid w:val="00392DA1"/>
    <w:rsid w:val="00393718"/>
    <w:rsid w:val="003A0296"/>
    <w:rsid w:val="003A10BC"/>
    <w:rsid w:val="003A44AA"/>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298B"/>
    <w:rsid w:val="003C36FD"/>
    <w:rsid w:val="003C664C"/>
    <w:rsid w:val="003D68BE"/>
    <w:rsid w:val="003D726D"/>
    <w:rsid w:val="003E0875"/>
    <w:rsid w:val="003E0BB8"/>
    <w:rsid w:val="003E5AD4"/>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472D8"/>
    <w:rsid w:val="00450561"/>
    <w:rsid w:val="00450A40"/>
    <w:rsid w:val="00451D7C"/>
    <w:rsid w:val="00452FC3"/>
    <w:rsid w:val="00453D5F"/>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97BCC"/>
    <w:rsid w:val="004A03F7"/>
    <w:rsid w:val="004A081C"/>
    <w:rsid w:val="004A123F"/>
    <w:rsid w:val="004A2172"/>
    <w:rsid w:val="004A239F"/>
    <w:rsid w:val="004A33EE"/>
    <w:rsid w:val="004A710D"/>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D77"/>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4E35"/>
    <w:rsid w:val="005B5516"/>
    <w:rsid w:val="005B5D2B"/>
    <w:rsid w:val="005C1496"/>
    <w:rsid w:val="005C17C5"/>
    <w:rsid w:val="005C2B21"/>
    <w:rsid w:val="005C2C00"/>
    <w:rsid w:val="005C3288"/>
    <w:rsid w:val="005C4C6F"/>
    <w:rsid w:val="005C5127"/>
    <w:rsid w:val="005C7CCB"/>
    <w:rsid w:val="005D1444"/>
    <w:rsid w:val="005D4DAE"/>
    <w:rsid w:val="005D767D"/>
    <w:rsid w:val="005D7A30"/>
    <w:rsid w:val="005D7D3B"/>
    <w:rsid w:val="005E1999"/>
    <w:rsid w:val="005E19DF"/>
    <w:rsid w:val="005E232C"/>
    <w:rsid w:val="005E2B83"/>
    <w:rsid w:val="005E4AEB"/>
    <w:rsid w:val="005E738F"/>
    <w:rsid w:val="005E788B"/>
    <w:rsid w:val="005F1519"/>
    <w:rsid w:val="005F4862"/>
    <w:rsid w:val="005F5679"/>
    <w:rsid w:val="005F5FDF"/>
    <w:rsid w:val="005F6960"/>
    <w:rsid w:val="005F7000"/>
    <w:rsid w:val="005F729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6364"/>
    <w:rsid w:val="006272DD"/>
    <w:rsid w:val="00630963"/>
    <w:rsid w:val="00631897"/>
    <w:rsid w:val="00632928"/>
    <w:rsid w:val="006330DA"/>
    <w:rsid w:val="00633262"/>
    <w:rsid w:val="00633460"/>
    <w:rsid w:val="00633679"/>
    <w:rsid w:val="00637766"/>
    <w:rsid w:val="006402E7"/>
    <w:rsid w:val="00640CB6"/>
    <w:rsid w:val="00641B42"/>
    <w:rsid w:val="00645750"/>
    <w:rsid w:val="00650692"/>
    <w:rsid w:val="006508D3"/>
    <w:rsid w:val="00650AFA"/>
    <w:rsid w:val="00662B77"/>
    <w:rsid w:val="00662D0E"/>
    <w:rsid w:val="00663265"/>
    <w:rsid w:val="0066345F"/>
    <w:rsid w:val="0066485B"/>
    <w:rsid w:val="006664C6"/>
    <w:rsid w:val="0067036E"/>
    <w:rsid w:val="00670451"/>
    <w:rsid w:val="00671693"/>
    <w:rsid w:val="00673582"/>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6C93"/>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56FC"/>
    <w:rsid w:val="007A7EC1"/>
    <w:rsid w:val="007B4FCA"/>
    <w:rsid w:val="007B75EE"/>
    <w:rsid w:val="007B7B85"/>
    <w:rsid w:val="007C462E"/>
    <w:rsid w:val="007C496B"/>
    <w:rsid w:val="007C6803"/>
    <w:rsid w:val="007D1D13"/>
    <w:rsid w:val="007D2892"/>
    <w:rsid w:val="007D2DCC"/>
    <w:rsid w:val="007D47E1"/>
    <w:rsid w:val="007D7FCB"/>
    <w:rsid w:val="007E33B6"/>
    <w:rsid w:val="007E59E8"/>
    <w:rsid w:val="007F3861"/>
    <w:rsid w:val="007F4162"/>
    <w:rsid w:val="007F5441"/>
    <w:rsid w:val="007F7668"/>
    <w:rsid w:val="00800C63"/>
    <w:rsid w:val="00802243"/>
    <w:rsid w:val="008023D4"/>
    <w:rsid w:val="00802A80"/>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537B"/>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19D4"/>
    <w:rsid w:val="008F3053"/>
    <w:rsid w:val="008F3136"/>
    <w:rsid w:val="008F40DF"/>
    <w:rsid w:val="008F5E16"/>
    <w:rsid w:val="008F5EFC"/>
    <w:rsid w:val="00901670"/>
    <w:rsid w:val="00902212"/>
    <w:rsid w:val="00903E0A"/>
    <w:rsid w:val="00904721"/>
    <w:rsid w:val="0090751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0ED2"/>
    <w:rsid w:val="00953499"/>
    <w:rsid w:val="00954A16"/>
    <w:rsid w:val="0095696D"/>
    <w:rsid w:val="00960F2D"/>
    <w:rsid w:val="009640B9"/>
    <w:rsid w:val="0096482F"/>
    <w:rsid w:val="00964E3A"/>
    <w:rsid w:val="00967126"/>
    <w:rsid w:val="00970EAE"/>
    <w:rsid w:val="00971627"/>
    <w:rsid w:val="00972797"/>
    <w:rsid w:val="0097279D"/>
    <w:rsid w:val="0097513E"/>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1F4"/>
    <w:rsid w:val="009A5EA5"/>
    <w:rsid w:val="009A612F"/>
    <w:rsid w:val="009A7A58"/>
    <w:rsid w:val="009B00C2"/>
    <w:rsid w:val="009B26AB"/>
    <w:rsid w:val="009B26DC"/>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4E7"/>
    <w:rsid w:val="00A07689"/>
    <w:rsid w:val="00A07906"/>
    <w:rsid w:val="00A104D1"/>
    <w:rsid w:val="00A10908"/>
    <w:rsid w:val="00A12330"/>
    <w:rsid w:val="00A1259F"/>
    <w:rsid w:val="00A1446F"/>
    <w:rsid w:val="00A151B5"/>
    <w:rsid w:val="00A16136"/>
    <w:rsid w:val="00A220FF"/>
    <w:rsid w:val="00A227E0"/>
    <w:rsid w:val="00A232E4"/>
    <w:rsid w:val="00A24AAD"/>
    <w:rsid w:val="00A26A8A"/>
    <w:rsid w:val="00A27255"/>
    <w:rsid w:val="00A32304"/>
    <w:rsid w:val="00A3420E"/>
    <w:rsid w:val="00A35D66"/>
    <w:rsid w:val="00A41085"/>
    <w:rsid w:val="00A425FA"/>
    <w:rsid w:val="00A43960"/>
    <w:rsid w:val="00A45256"/>
    <w:rsid w:val="00A46902"/>
    <w:rsid w:val="00A50CDB"/>
    <w:rsid w:val="00A51F3E"/>
    <w:rsid w:val="00A5364B"/>
    <w:rsid w:val="00A54142"/>
    <w:rsid w:val="00A54C42"/>
    <w:rsid w:val="00A572B1"/>
    <w:rsid w:val="00A577AF"/>
    <w:rsid w:val="00A60177"/>
    <w:rsid w:val="00A61C27"/>
    <w:rsid w:val="00A62638"/>
    <w:rsid w:val="00A6344D"/>
    <w:rsid w:val="00A644B8"/>
    <w:rsid w:val="00A67006"/>
    <w:rsid w:val="00A70E35"/>
    <w:rsid w:val="00A720DC"/>
    <w:rsid w:val="00A803CF"/>
    <w:rsid w:val="00A8133F"/>
    <w:rsid w:val="00A82CB4"/>
    <w:rsid w:val="00A837A8"/>
    <w:rsid w:val="00A83C36"/>
    <w:rsid w:val="00A932BB"/>
    <w:rsid w:val="00A93579"/>
    <w:rsid w:val="00A93934"/>
    <w:rsid w:val="00A95D51"/>
    <w:rsid w:val="00AA11D5"/>
    <w:rsid w:val="00AA18AE"/>
    <w:rsid w:val="00AA228B"/>
    <w:rsid w:val="00AA28B1"/>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3185"/>
    <w:rsid w:val="00AF48B4"/>
    <w:rsid w:val="00AF4923"/>
    <w:rsid w:val="00AF7C74"/>
    <w:rsid w:val="00B000AF"/>
    <w:rsid w:val="00B04E79"/>
    <w:rsid w:val="00B07488"/>
    <w:rsid w:val="00B075A2"/>
    <w:rsid w:val="00B10DD2"/>
    <w:rsid w:val="00B115DC"/>
    <w:rsid w:val="00B1189A"/>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1578"/>
    <w:rsid w:val="00B82039"/>
    <w:rsid w:val="00B82454"/>
    <w:rsid w:val="00B84E40"/>
    <w:rsid w:val="00B90097"/>
    <w:rsid w:val="00B90999"/>
    <w:rsid w:val="00B91AD7"/>
    <w:rsid w:val="00B92D23"/>
    <w:rsid w:val="00B95A7E"/>
    <w:rsid w:val="00B95BC8"/>
    <w:rsid w:val="00B96E87"/>
    <w:rsid w:val="00BA146A"/>
    <w:rsid w:val="00BA32EE"/>
    <w:rsid w:val="00BB5B36"/>
    <w:rsid w:val="00BC027B"/>
    <w:rsid w:val="00BC0364"/>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1845"/>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8AD"/>
    <w:rsid w:val="00CB5BD6"/>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2831"/>
    <w:rsid w:val="00CE300F"/>
    <w:rsid w:val="00CE3582"/>
    <w:rsid w:val="00CE3795"/>
    <w:rsid w:val="00CE3E20"/>
    <w:rsid w:val="00CF4827"/>
    <w:rsid w:val="00CF4C69"/>
    <w:rsid w:val="00CF581C"/>
    <w:rsid w:val="00CF5F99"/>
    <w:rsid w:val="00CF71E0"/>
    <w:rsid w:val="00D001B1"/>
    <w:rsid w:val="00D03176"/>
    <w:rsid w:val="00D060A8"/>
    <w:rsid w:val="00D06605"/>
    <w:rsid w:val="00D0720F"/>
    <w:rsid w:val="00D074E2"/>
    <w:rsid w:val="00D11B0B"/>
    <w:rsid w:val="00D12A3E"/>
    <w:rsid w:val="00D22160"/>
    <w:rsid w:val="00D22172"/>
    <w:rsid w:val="00D2301B"/>
    <w:rsid w:val="00D239EE"/>
    <w:rsid w:val="00D255CF"/>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211"/>
    <w:rsid w:val="00D730FA"/>
    <w:rsid w:val="00D76631"/>
    <w:rsid w:val="00D768B7"/>
    <w:rsid w:val="00D77492"/>
    <w:rsid w:val="00D811E8"/>
    <w:rsid w:val="00D81A44"/>
    <w:rsid w:val="00D83072"/>
    <w:rsid w:val="00D83ABC"/>
    <w:rsid w:val="00D84870"/>
    <w:rsid w:val="00D91B92"/>
    <w:rsid w:val="00D926B3"/>
    <w:rsid w:val="00D92F63"/>
    <w:rsid w:val="00D93CCD"/>
    <w:rsid w:val="00D947B6"/>
    <w:rsid w:val="00D94A53"/>
    <w:rsid w:val="00D97E00"/>
    <w:rsid w:val="00DA00BC"/>
    <w:rsid w:val="00DA0E22"/>
    <w:rsid w:val="00DA1EFA"/>
    <w:rsid w:val="00DA25E7"/>
    <w:rsid w:val="00DA3687"/>
    <w:rsid w:val="00DA39F2"/>
    <w:rsid w:val="00DA564B"/>
    <w:rsid w:val="00DA6A5C"/>
    <w:rsid w:val="00DB21FF"/>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35A"/>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6304"/>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540"/>
    <w:rsid w:val="00E93DEF"/>
    <w:rsid w:val="00E947B1"/>
    <w:rsid w:val="00E96852"/>
    <w:rsid w:val="00EA16AC"/>
    <w:rsid w:val="00EA385A"/>
    <w:rsid w:val="00EA3931"/>
    <w:rsid w:val="00EA658E"/>
    <w:rsid w:val="00EA7A88"/>
    <w:rsid w:val="00EB27F2"/>
    <w:rsid w:val="00EB3928"/>
    <w:rsid w:val="00EB5373"/>
    <w:rsid w:val="00EC02A2"/>
    <w:rsid w:val="00EC0AB9"/>
    <w:rsid w:val="00EC379B"/>
    <w:rsid w:val="00EC37DF"/>
    <w:rsid w:val="00EC3A99"/>
    <w:rsid w:val="00EC41B1"/>
    <w:rsid w:val="00ED0665"/>
    <w:rsid w:val="00ED12C0"/>
    <w:rsid w:val="00ED19F0"/>
    <w:rsid w:val="00ED2B50"/>
    <w:rsid w:val="00ED3A32"/>
    <w:rsid w:val="00ED3BDE"/>
    <w:rsid w:val="00ED68FB"/>
    <w:rsid w:val="00ED783A"/>
    <w:rsid w:val="00EE0F17"/>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2FD4"/>
    <w:rsid w:val="00F553BE"/>
    <w:rsid w:val="00F5605D"/>
    <w:rsid w:val="00F6514B"/>
    <w:rsid w:val="00F6533E"/>
    <w:rsid w:val="00F6587F"/>
    <w:rsid w:val="00F67981"/>
    <w:rsid w:val="00F706CA"/>
    <w:rsid w:val="00F70F8D"/>
    <w:rsid w:val="00F71C5A"/>
    <w:rsid w:val="00F733A4"/>
    <w:rsid w:val="00F7758F"/>
    <w:rsid w:val="00F82811"/>
    <w:rsid w:val="00F84153"/>
    <w:rsid w:val="00F85661"/>
    <w:rsid w:val="00F91F27"/>
    <w:rsid w:val="00F96602"/>
    <w:rsid w:val="00F9735A"/>
    <w:rsid w:val="00FA32FC"/>
    <w:rsid w:val="00FA59FD"/>
    <w:rsid w:val="00FA5D8C"/>
    <w:rsid w:val="00FA6403"/>
    <w:rsid w:val="00FB16CD"/>
    <w:rsid w:val="00FB73AE"/>
    <w:rsid w:val="00FC5388"/>
    <w:rsid w:val="00FC726C"/>
    <w:rsid w:val="00FD1B4B"/>
    <w:rsid w:val="00FD1B94"/>
    <w:rsid w:val="00FE19C5"/>
    <w:rsid w:val="00FE38D0"/>
    <w:rsid w:val="00FE4286"/>
    <w:rsid w:val="00FE48C3"/>
    <w:rsid w:val="00FE5909"/>
    <w:rsid w:val="00FE652E"/>
    <w:rsid w:val="00FE71FE"/>
    <w:rsid w:val="00FF0A28"/>
    <w:rsid w:val="00FF0B8B"/>
    <w:rsid w:val="00FF0E93"/>
    <w:rsid w:val="00FF13C3"/>
    <w:rsid w:val="00FF34C8"/>
    <w:rsid w:val="00FF39E7"/>
    <w:rsid w:val="00FF4341"/>
    <w:rsid w:val="00FF517B"/>
    <w:rsid w:val="00FF5693"/>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1D4F09-E5AA-4116-8158-8B6F0882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472D8"/>
    <w:rPr>
      <w:sz w:val="16"/>
      <w:szCs w:val="16"/>
    </w:rPr>
  </w:style>
  <w:style w:type="paragraph" w:styleId="CommentText">
    <w:name w:val="annotation text"/>
    <w:basedOn w:val="Normal"/>
    <w:link w:val="CommentTextChar"/>
    <w:semiHidden/>
    <w:unhideWhenUsed/>
    <w:rsid w:val="004472D8"/>
    <w:rPr>
      <w:sz w:val="20"/>
      <w:szCs w:val="20"/>
    </w:rPr>
  </w:style>
  <w:style w:type="character" w:customStyle="1" w:styleId="CommentTextChar">
    <w:name w:val="Comment Text Char"/>
    <w:basedOn w:val="DefaultParagraphFont"/>
    <w:link w:val="CommentText"/>
    <w:semiHidden/>
    <w:rsid w:val="004472D8"/>
  </w:style>
  <w:style w:type="paragraph" w:styleId="CommentSubject">
    <w:name w:val="annotation subject"/>
    <w:basedOn w:val="CommentText"/>
    <w:next w:val="CommentText"/>
    <w:link w:val="CommentSubjectChar"/>
    <w:semiHidden/>
    <w:unhideWhenUsed/>
    <w:rsid w:val="004472D8"/>
    <w:rPr>
      <w:b/>
      <w:bCs/>
    </w:rPr>
  </w:style>
  <w:style w:type="character" w:customStyle="1" w:styleId="CommentSubjectChar">
    <w:name w:val="Comment Subject Char"/>
    <w:basedOn w:val="CommentTextChar"/>
    <w:link w:val="CommentSubject"/>
    <w:semiHidden/>
    <w:rsid w:val="004472D8"/>
    <w:rPr>
      <w:b/>
      <w:bCs/>
    </w:rPr>
  </w:style>
  <w:style w:type="paragraph" w:styleId="Revision">
    <w:name w:val="Revision"/>
    <w:hidden/>
    <w:uiPriority w:val="99"/>
    <w:semiHidden/>
    <w:rsid w:val="006263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1758</Words>
  <Characters>9645</Characters>
  <Application>Microsoft Office Word</Application>
  <DocSecurity>4</DocSecurity>
  <Lines>180</Lines>
  <Paragraphs>53</Paragraphs>
  <ScaleCrop>false</ScaleCrop>
  <HeadingPairs>
    <vt:vector size="2" baseType="variant">
      <vt:variant>
        <vt:lpstr>Title</vt:lpstr>
      </vt:variant>
      <vt:variant>
        <vt:i4>1</vt:i4>
      </vt:variant>
    </vt:vector>
  </HeadingPairs>
  <TitlesOfParts>
    <vt:vector size="1" baseType="lpstr">
      <vt:lpstr>BA - HB05186 (Committee Report (Substituted))</vt:lpstr>
    </vt:vector>
  </TitlesOfParts>
  <Company>State of Texas</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24884</dc:subject>
  <dc:creator>State of Texas</dc:creator>
  <dc:description>HB 5186 by Bonnen-(H)Pensions, Investments &amp; Financial Services (Substitute Document Number: 88R 23921)</dc:description>
  <cp:lastModifiedBy>Stacey Nicchio</cp:lastModifiedBy>
  <cp:revision>2</cp:revision>
  <cp:lastPrinted>2003-11-26T17:21:00Z</cp:lastPrinted>
  <dcterms:created xsi:type="dcterms:W3CDTF">2023-04-25T23:45:00Z</dcterms:created>
  <dcterms:modified xsi:type="dcterms:W3CDTF">2023-04-25T23:45:00Z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23.111.1730</vt:lpwstr>
  </property>
</Properties>
</file>