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C796C" w14:paraId="4FE369CB" w14:textId="77777777" w:rsidTr="00345119">
        <w:tc>
          <w:tcPr>
            <w:tcW w:w="9576" w:type="dxa"/>
            <w:noWrap/>
          </w:tcPr>
          <w:p w14:paraId="595C9595" w14:textId="77777777" w:rsidR="008423E4" w:rsidRPr="0022177D" w:rsidRDefault="00A8780E" w:rsidP="006B0FA8">
            <w:pPr>
              <w:pStyle w:val="Heading1"/>
            </w:pPr>
            <w:r w:rsidRPr="00631897">
              <w:t>BILL ANALYSIS</w:t>
            </w:r>
          </w:p>
        </w:tc>
      </w:tr>
    </w:tbl>
    <w:p w14:paraId="625E6377" w14:textId="77777777" w:rsidR="008423E4" w:rsidRPr="0022177D" w:rsidRDefault="008423E4" w:rsidP="006B0FA8">
      <w:pPr>
        <w:jc w:val="center"/>
      </w:pPr>
    </w:p>
    <w:p w14:paraId="5A1ABA73" w14:textId="77777777" w:rsidR="008423E4" w:rsidRPr="00B31F0E" w:rsidRDefault="008423E4" w:rsidP="006B0FA8"/>
    <w:p w14:paraId="4E6FAF09" w14:textId="77777777" w:rsidR="008423E4" w:rsidRPr="00742794" w:rsidRDefault="008423E4" w:rsidP="006B0FA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C796C" w14:paraId="245BC11B" w14:textId="77777777" w:rsidTr="00345119">
        <w:tc>
          <w:tcPr>
            <w:tcW w:w="9576" w:type="dxa"/>
          </w:tcPr>
          <w:p w14:paraId="2D9ABD45" w14:textId="77777777" w:rsidR="008423E4" w:rsidRPr="00861995" w:rsidRDefault="00A8780E" w:rsidP="006B0FA8">
            <w:pPr>
              <w:jc w:val="right"/>
            </w:pPr>
            <w:r>
              <w:t>C.S.H.B. 5255</w:t>
            </w:r>
          </w:p>
        </w:tc>
      </w:tr>
      <w:tr w:rsidR="002C796C" w14:paraId="38E00239" w14:textId="77777777" w:rsidTr="00345119">
        <w:tc>
          <w:tcPr>
            <w:tcW w:w="9576" w:type="dxa"/>
          </w:tcPr>
          <w:p w14:paraId="6F0BF5C2" w14:textId="77777777" w:rsidR="008423E4" w:rsidRPr="00861995" w:rsidRDefault="00A8780E" w:rsidP="006B0FA8">
            <w:pPr>
              <w:jc w:val="right"/>
            </w:pPr>
            <w:r>
              <w:t xml:space="preserve">By: </w:t>
            </w:r>
            <w:r w:rsidR="00E249B7">
              <w:t>Lopez, Ray</w:t>
            </w:r>
          </w:p>
        </w:tc>
      </w:tr>
      <w:tr w:rsidR="002C796C" w14:paraId="230CD5B6" w14:textId="77777777" w:rsidTr="00345119">
        <w:tc>
          <w:tcPr>
            <w:tcW w:w="9576" w:type="dxa"/>
          </w:tcPr>
          <w:p w14:paraId="04C20A2B" w14:textId="77777777" w:rsidR="008423E4" w:rsidRPr="00861995" w:rsidRDefault="00A8780E" w:rsidP="006B0FA8">
            <w:pPr>
              <w:jc w:val="right"/>
            </w:pPr>
            <w:r>
              <w:t>Urban Affairs</w:t>
            </w:r>
          </w:p>
        </w:tc>
      </w:tr>
      <w:tr w:rsidR="002C796C" w14:paraId="5223FD2E" w14:textId="77777777" w:rsidTr="00345119">
        <w:tc>
          <w:tcPr>
            <w:tcW w:w="9576" w:type="dxa"/>
          </w:tcPr>
          <w:p w14:paraId="3E6F6289" w14:textId="77777777" w:rsidR="008423E4" w:rsidRDefault="00A8780E" w:rsidP="006B0FA8">
            <w:pPr>
              <w:jc w:val="right"/>
            </w:pPr>
            <w:r>
              <w:t>Committee Report (Substituted)</w:t>
            </w:r>
          </w:p>
        </w:tc>
      </w:tr>
    </w:tbl>
    <w:p w14:paraId="49B4BEA1" w14:textId="77777777" w:rsidR="008423E4" w:rsidRDefault="008423E4" w:rsidP="006B0FA8">
      <w:pPr>
        <w:tabs>
          <w:tab w:val="right" w:pos="9360"/>
        </w:tabs>
      </w:pPr>
    </w:p>
    <w:p w14:paraId="3601F610" w14:textId="77777777" w:rsidR="008423E4" w:rsidRDefault="008423E4" w:rsidP="006B0FA8"/>
    <w:p w14:paraId="044999E9" w14:textId="77777777" w:rsidR="008423E4" w:rsidRDefault="008423E4" w:rsidP="006B0FA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C796C" w14:paraId="4FD27B4A" w14:textId="77777777" w:rsidTr="00345119">
        <w:tc>
          <w:tcPr>
            <w:tcW w:w="9576" w:type="dxa"/>
          </w:tcPr>
          <w:p w14:paraId="16A227CF" w14:textId="77777777" w:rsidR="008423E4" w:rsidRPr="00A8133F" w:rsidRDefault="00A8780E" w:rsidP="006B0FA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DDF176" w14:textId="77777777" w:rsidR="008423E4" w:rsidRDefault="008423E4" w:rsidP="006B0FA8"/>
          <w:p w14:paraId="14A4B9FE" w14:textId="77777777" w:rsidR="008423E4" w:rsidRDefault="00A8780E" w:rsidP="006B0F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F2633">
              <w:t xml:space="preserve">Local, state, and federal government housing data is frequently fragmented and poorly organized. As a result, families </w:t>
            </w:r>
            <w:r w:rsidRPr="002F2633">
              <w:t>looking for housing have limited access to accurate and up-to-date information about affordable housing options. This causes municipal departments to incur higher administrative costs, have an increased workload, and have less information with which to mak</w:t>
            </w:r>
            <w:r w:rsidRPr="002F2633">
              <w:t>e sound financial and policy decisions.</w:t>
            </w:r>
            <w:r>
              <w:t xml:space="preserve"> </w:t>
            </w:r>
            <w:r w:rsidRPr="002F2633">
              <w:t xml:space="preserve">The market for affordable housing in Texas varies greatly across both urban and rural communities. As Texas grows, local officials should be empowered to consider and enact data-driven housing policies and community </w:t>
            </w:r>
            <w:r w:rsidRPr="002F2633">
              <w:t>development plans that utilize market-driven solutions to better align the needs of local communities with existing inventory while streamlining the permitting and construction processes.</w:t>
            </w:r>
            <w:r>
              <w:t xml:space="preserve"> </w:t>
            </w:r>
            <w:r w:rsidR="0077131C">
              <w:t>C.S.</w:t>
            </w:r>
            <w:r>
              <w:t>H</w:t>
            </w:r>
            <w:r w:rsidR="0077131C">
              <w:t>.</w:t>
            </w:r>
            <w:r w:rsidRPr="002F2633">
              <w:t>B</w:t>
            </w:r>
            <w:r w:rsidR="0077131C">
              <w:t>.</w:t>
            </w:r>
            <w:r w:rsidRPr="002F2633">
              <w:t xml:space="preserve"> 5255 </w:t>
            </w:r>
            <w:r w:rsidR="0077131C">
              <w:t xml:space="preserve">seeks to address this issue by providing for the </w:t>
            </w:r>
            <w:r w:rsidRPr="002F2633">
              <w:t>colle</w:t>
            </w:r>
            <w:r w:rsidRPr="002F2633">
              <w:t>ct</w:t>
            </w:r>
            <w:r w:rsidR="0077131C">
              <w:t>ion of</w:t>
            </w:r>
            <w:r w:rsidRPr="002F2633">
              <w:t xml:space="preserve"> </w:t>
            </w:r>
            <w:r w:rsidR="0077131C">
              <w:t xml:space="preserve">municipal </w:t>
            </w:r>
            <w:r w:rsidRPr="002F2633">
              <w:t xml:space="preserve">affordable housing </w:t>
            </w:r>
            <w:r w:rsidR="0077131C">
              <w:t xml:space="preserve">information and the </w:t>
            </w:r>
            <w:r w:rsidRPr="002F2633">
              <w:t>creat</w:t>
            </w:r>
            <w:r w:rsidR="0077131C">
              <w:t>ion</w:t>
            </w:r>
            <w:r w:rsidRPr="002F2633">
              <w:t xml:space="preserve"> </w:t>
            </w:r>
            <w:r w:rsidR="0077131C">
              <w:t xml:space="preserve">of </w:t>
            </w:r>
            <w:r w:rsidRPr="002F2633">
              <w:t xml:space="preserve">a publicly accessible online database </w:t>
            </w:r>
            <w:r w:rsidR="0077131C">
              <w:t xml:space="preserve">of that information. </w:t>
            </w:r>
          </w:p>
          <w:p w14:paraId="23D22497" w14:textId="306B04D2" w:rsidR="00553A7E" w:rsidRPr="00E26B13" w:rsidRDefault="00553A7E" w:rsidP="006B0FA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C796C" w14:paraId="539B1707" w14:textId="77777777" w:rsidTr="00345119">
        <w:tc>
          <w:tcPr>
            <w:tcW w:w="9576" w:type="dxa"/>
          </w:tcPr>
          <w:p w14:paraId="58D095D5" w14:textId="77777777" w:rsidR="0017725B" w:rsidRDefault="00A8780E" w:rsidP="006B0F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10DEF3" w14:textId="77777777" w:rsidR="0017725B" w:rsidRDefault="0017725B" w:rsidP="006B0FA8">
            <w:pPr>
              <w:rPr>
                <w:b/>
                <w:u w:val="single"/>
              </w:rPr>
            </w:pPr>
          </w:p>
          <w:p w14:paraId="0C19FB67" w14:textId="5BCE54BD" w:rsidR="00C40529" w:rsidRPr="00C40529" w:rsidRDefault="00A8780E" w:rsidP="006B0FA8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2D2A8773" w14:textId="77777777" w:rsidR="0017725B" w:rsidRPr="0017725B" w:rsidRDefault="0017725B" w:rsidP="006B0FA8">
            <w:pPr>
              <w:rPr>
                <w:b/>
                <w:u w:val="single"/>
              </w:rPr>
            </w:pPr>
          </w:p>
        </w:tc>
      </w:tr>
      <w:tr w:rsidR="002C796C" w14:paraId="39120189" w14:textId="77777777" w:rsidTr="00345119">
        <w:tc>
          <w:tcPr>
            <w:tcW w:w="9576" w:type="dxa"/>
          </w:tcPr>
          <w:p w14:paraId="7FCF46A0" w14:textId="77777777" w:rsidR="008423E4" w:rsidRPr="00A8133F" w:rsidRDefault="00A8780E" w:rsidP="006B0FA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DD55538" w14:textId="77777777" w:rsidR="008423E4" w:rsidRDefault="008423E4" w:rsidP="006B0FA8"/>
          <w:p w14:paraId="5EFA145D" w14:textId="7D042176" w:rsidR="00C40529" w:rsidRDefault="00A8780E" w:rsidP="006B0F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D16CC8">
              <w:t>Texas Department of Housing and Community Affairs</w:t>
            </w:r>
            <w:r>
              <w:t xml:space="preserve"> in SECTION 3 of this bill.</w:t>
            </w:r>
          </w:p>
          <w:p w14:paraId="22F200B6" w14:textId="77777777" w:rsidR="008423E4" w:rsidRPr="00E21FDC" w:rsidRDefault="008423E4" w:rsidP="006B0FA8">
            <w:pPr>
              <w:rPr>
                <w:b/>
              </w:rPr>
            </w:pPr>
          </w:p>
        </w:tc>
      </w:tr>
      <w:tr w:rsidR="002C796C" w14:paraId="2165D31B" w14:textId="77777777" w:rsidTr="00345119">
        <w:tc>
          <w:tcPr>
            <w:tcW w:w="9576" w:type="dxa"/>
          </w:tcPr>
          <w:p w14:paraId="02D1C030" w14:textId="77777777" w:rsidR="008423E4" w:rsidRPr="00A8133F" w:rsidRDefault="00A8780E" w:rsidP="006B0FA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3C695A1" w14:textId="77777777" w:rsidR="008423E4" w:rsidRDefault="008423E4" w:rsidP="006B0FA8"/>
          <w:p w14:paraId="423B1EBC" w14:textId="23AE777F" w:rsidR="001C6E7F" w:rsidRDefault="00A8780E" w:rsidP="006B0F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5255 amends the </w:t>
            </w:r>
            <w:r w:rsidRPr="008732A4">
              <w:t>Local Government Code</w:t>
            </w:r>
            <w:r>
              <w:t xml:space="preserve"> to require a municipality q</w:t>
            </w:r>
            <w:r w:rsidRPr="008732A4">
              <w:t>ualified to receive federal grants under the community development block grant entitlement program</w:t>
            </w:r>
            <w:r>
              <w:t xml:space="preserve"> to </w:t>
            </w:r>
            <w:r w:rsidRPr="008732A4">
              <w:t>conduct an annual survey of all affordable housing units located in the municipality.</w:t>
            </w:r>
            <w:r>
              <w:t xml:space="preserve"> The bill requires the survey to collect </w:t>
            </w:r>
            <w:r>
              <w:t>the following information:</w:t>
            </w:r>
          </w:p>
          <w:p w14:paraId="1DAF1C47" w14:textId="1A5DBA4B" w:rsidR="001C6E7F" w:rsidRDefault="00A8780E" w:rsidP="006B0FA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unit type;</w:t>
            </w:r>
          </w:p>
          <w:p w14:paraId="6698BDB9" w14:textId="5CC5EBD4" w:rsidR="001C6E7F" w:rsidRDefault="00A8780E" w:rsidP="006B0FA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monthly rent;</w:t>
            </w:r>
          </w:p>
          <w:p w14:paraId="574F1946" w14:textId="2FF51515" w:rsidR="001C6E7F" w:rsidRDefault="00A8780E" w:rsidP="006B0FA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estimated monthly cost of basic utilities not included in the rent amount;</w:t>
            </w:r>
          </w:p>
          <w:p w14:paraId="05DCE448" w14:textId="6836A423" w:rsidR="001C6E7F" w:rsidRDefault="00A8780E" w:rsidP="006B0FA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any eligibility requirement, including any average median income restriction;</w:t>
            </w:r>
          </w:p>
          <w:p w14:paraId="3A23E3D8" w14:textId="1343C6EF" w:rsidR="001C6E7F" w:rsidRDefault="00A8780E" w:rsidP="006B0FA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length of any waiting list;</w:t>
            </w:r>
          </w:p>
          <w:p w14:paraId="30417667" w14:textId="2A3367BD" w:rsidR="001C6E7F" w:rsidRDefault="00A8780E" w:rsidP="006B0FA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each so</w:t>
            </w:r>
            <w:r>
              <w:t>cial service provided to a tenant, including a supportive service;</w:t>
            </w:r>
          </w:p>
          <w:p w14:paraId="78B3A069" w14:textId="42445D8A" w:rsidR="001C6E7F" w:rsidRDefault="00A8780E" w:rsidP="006B0FA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distance to nearby essential services</w:t>
            </w:r>
            <w:r w:rsidR="0018375A">
              <w:t xml:space="preserve">, including public transit stops, public schools, </w:t>
            </w:r>
            <w:r w:rsidR="00631EFA">
              <w:t xml:space="preserve">community </w:t>
            </w:r>
            <w:r w:rsidR="0018375A">
              <w:t>health</w:t>
            </w:r>
            <w:r w:rsidR="00631EFA">
              <w:t xml:space="preserve"> centers, emergency medical</w:t>
            </w:r>
            <w:r w:rsidR="0018375A">
              <w:t xml:space="preserve"> facilities, public safety</w:t>
            </w:r>
            <w:r w:rsidR="00663BB8">
              <w:t xml:space="preserve"> facilities</w:t>
            </w:r>
            <w:r w:rsidR="0018375A">
              <w:t xml:space="preserve">, community centers, and </w:t>
            </w:r>
            <w:r w:rsidR="003367FC">
              <w:t xml:space="preserve">food </w:t>
            </w:r>
            <w:r w:rsidR="0018375A">
              <w:t>retailers</w:t>
            </w:r>
            <w:r w:rsidR="00631EFA">
              <w:t xml:space="preserve"> providing grocery items and fresh produce</w:t>
            </w:r>
            <w:r>
              <w:t>;</w:t>
            </w:r>
          </w:p>
          <w:p w14:paraId="771FFC2B" w14:textId="0A1B409E" w:rsidR="001C6E7F" w:rsidRDefault="00A8780E" w:rsidP="006B0FA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distance to public community spaces, including parks, sports facilities, and playgrounds; and</w:t>
            </w:r>
          </w:p>
          <w:p w14:paraId="150C67CF" w14:textId="39D11848" w:rsidR="001C6E7F" w:rsidRDefault="00A8780E" w:rsidP="006B0FA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telephone number, mailing address, and email address for a prospective tenant to inquire ab</w:t>
            </w:r>
            <w:r>
              <w:t>out renting the unit.</w:t>
            </w:r>
          </w:p>
          <w:p w14:paraId="288D9B54" w14:textId="23420473" w:rsidR="001C6E7F" w:rsidRDefault="00A8780E" w:rsidP="006B0F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a municipality to </w:t>
            </w:r>
            <w:r w:rsidRPr="00B37557">
              <w:t xml:space="preserve">collect and use </w:t>
            </w:r>
            <w:r>
              <w:t>the</w:t>
            </w:r>
            <w:r w:rsidRPr="00B37557">
              <w:t xml:space="preserve"> information from any available source, including information collected for a survey conducted by the municipality in a previous year, provided that the municipality verifies th</w:t>
            </w:r>
            <w:r w:rsidRPr="00B37557">
              <w:t>e information is current and accurate.</w:t>
            </w:r>
            <w:r>
              <w:t xml:space="preserve"> The bill requires a municipality to </w:t>
            </w:r>
            <w:r w:rsidRPr="00B37557">
              <w:t>provide the information collected to any state agency that requests the information.</w:t>
            </w:r>
            <w:r w:rsidR="00812FF1">
              <w:t xml:space="preserve"> A</w:t>
            </w:r>
            <w:r w:rsidR="00812FF1" w:rsidRPr="008732A4">
              <w:t xml:space="preserve"> municipality not </w:t>
            </w:r>
            <w:r w:rsidR="00812FF1">
              <w:t>q</w:t>
            </w:r>
            <w:r w:rsidR="00812FF1" w:rsidRPr="008732A4">
              <w:t xml:space="preserve">ualified to receive </w:t>
            </w:r>
            <w:r w:rsidR="00812FF1">
              <w:t xml:space="preserve">the applicable </w:t>
            </w:r>
            <w:r w:rsidR="00812FF1" w:rsidRPr="008732A4">
              <w:t xml:space="preserve">federal grants </w:t>
            </w:r>
            <w:r w:rsidR="00812FF1">
              <w:t xml:space="preserve">may elect to </w:t>
            </w:r>
            <w:r w:rsidR="00812FF1" w:rsidRPr="008732A4">
              <w:t xml:space="preserve">participate in the collection and publication of </w:t>
            </w:r>
            <w:r w:rsidR="00812FF1">
              <w:t>the</w:t>
            </w:r>
            <w:r w:rsidR="00812FF1" w:rsidRPr="008732A4">
              <w:t xml:space="preserve"> information</w:t>
            </w:r>
            <w:r w:rsidR="00812FF1">
              <w:t>.</w:t>
            </w:r>
            <w:r w:rsidR="003367FC">
              <w:t xml:space="preserve"> Such a municipality is subject to statutory provisions relating to municipal planning and growth.</w:t>
            </w:r>
          </w:p>
          <w:p w14:paraId="1F512F9B" w14:textId="089C0A01" w:rsidR="00B37557" w:rsidRDefault="00B37557" w:rsidP="006B0F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40997DB" w14:textId="5263F64E" w:rsidR="003747BA" w:rsidRDefault="00A8780E" w:rsidP="006B0FA8">
            <w:pPr>
              <w:pStyle w:val="Header"/>
              <w:jc w:val="both"/>
            </w:pPr>
            <w:r>
              <w:t xml:space="preserve">C.S.H.B. 5255 requires a </w:t>
            </w:r>
            <w:r w:rsidRPr="00B37557">
              <w:t xml:space="preserve">municipality </w:t>
            </w:r>
            <w:r>
              <w:t>to</w:t>
            </w:r>
            <w:r w:rsidRPr="00B37557">
              <w:t xml:space="preserve"> publish the </w:t>
            </w:r>
            <w:r w:rsidR="00025BBA">
              <w:t xml:space="preserve">collected </w:t>
            </w:r>
            <w:r w:rsidRPr="00B37557">
              <w:t xml:space="preserve">information in a searchable database on a publicly accessible website and mobile application. The </w:t>
            </w:r>
            <w:r>
              <w:t xml:space="preserve">bill requires a </w:t>
            </w:r>
            <w:r w:rsidRPr="00B37557">
              <w:t xml:space="preserve">municipality </w:t>
            </w:r>
            <w:r>
              <w:t>to</w:t>
            </w:r>
            <w:r w:rsidRPr="00B37557">
              <w:t xml:space="preserve"> ensure that the database enables a person to</w:t>
            </w:r>
            <w:r>
              <w:t xml:space="preserve"> search for an affordable housing unit using the characteristics</w:t>
            </w:r>
            <w:r w:rsidR="008B663D">
              <w:t xml:space="preserve"> collected in the survey</w:t>
            </w:r>
            <w:r w:rsidR="00D16CC8">
              <w:t>,</w:t>
            </w:r>
            <w:r>
              <w:t xml:space="preserve"> update the database in real time if the person is authorized by the municipality to do so</w:t>
            </w:r>
            <w:r w:rsidR="00D16CC8">
              <w:t>,</w:t>
            </w:r>
            <w:r>
              <w:t xml:space="preserve"> and view the complete survey information collected.</w:t>
            </w:r>
            <w:r w:rsidR="00D16CC8">
              <w:t xml:space="preserve"> The bill requires a municipality to </w:t>
            </w:r>
            <w:r w:rsidR="00D16CC8" w:rsidRPr="00D16CC8">
              <w:t xml:space="preserve">update </w:t>
            </w:r>
            <w:r w:rsidR="008B663D">
              <w:t>its</w:t>
            </w:r>
            <w:r w:rsidR="00D16CC8" w:rsidRPr="00D16CC8">
              <w:t xml:space="preserve"> database at least annually.</w:t>
            </w:r>
          </w:p>
          <w:p w14:paraId="0E87996E" w14:textId="77777777" w:rsidR="003747BA" w:rsidRDefault="003747BA" w:rsidP="006B0FA8">
            <w:pPr>
              <w:pStyle w:val="Header"/>
              <w:jc w:val="both"/>
            </w:pPr>
          </w:p>
          <w:p w14:paraId="07E6AB7F" w14:textId="409B0A40" w:rsidR="003747BA" w:rsidRDefault="00A8780E" w:rsidP="006B0FA8">
            <w:pPr>
              <w:pStyle w:val="Header"/>
              <w:jc w:val="both"/>
            </w:pPr>
            <w:r>
              <w:t xml:space="preserve">C.S.H.B. 5255 requires </w:t>
            </w:r>
            <w:r w:rsidRPr="00D16CC8">
              <w:t>the Te</w:t>
            </w:r>
            <w:r w:rsidRPr="00D16CC8">
              <w:t>xas Department of Housing and Community Affairs</w:t>
            </w:r>
            <w:r>
              <w:t xml:space="preserve"> </w:t>
            </w:r>
            <w:r w:rsidRPr="00D16CC8">
              <w:t>(TDHCA)</w:t>
            </w:r>
            <w:r w:rsidRPr="00D16CC8">
              <w:cr/>
            </w:r>
            <w:r>
              <w:t xml:space="preserve">to </w:t>
            </w:r>
            <w:r w:rsidRPr="00D16CC8">
              <w:t>adopt rules necessary to implement and administer</w:t>
            </w:r>
            <w:r>
              <w:t xml:space="preserve"> the bill's provisions</w:t>
            </w:r>
            <w:r w:rsidRPr="00D16CC8">
              <w:t>, including rules on the collection, compilation, analysis, and publication of information on the availability and accessibili</w:t>
            </w:r>
            <w:r w:rsidRPr="00D16CC8">
              <w:t xml:space="preserve">ty of affordable housing in </w:t>
            </w:r>
            <w:r>
              <w:t>Texas</w:t>
            </w:r>
            <w:r w:rsidRPr="00D16CC8">
              <w:t>.</w:t>
            </w:r>
            <w:r>
              <w:t xml:space="preserve"> The bill requires TDHCA to </w:t>
            </w:r>
            <w:r w:rsidRPr="00C40529">
              <w:t xml:space="preserve">publish reports on the availability and accessibility of affordable housing in </w:t>
            </w:r>
            <w:r>
              <w:t>Texas</w:t>
            </w:r>
            <w:r w:rsidRPr="00C40529">
              <w:t xml:space="preserve"> using information collected by municipalities and other information available to </w:t>
            </w:r>
            <w:r>
              <w:t>TDHCA</w:t>
            </w:r>
            <w:r w:rsidRPr="00C40529">
              <w:t>.</w:t>
            </w:r>
            <w:r>
              <w:t xml:space="preserve"> The bill authorizes T</w:t>
            </w:r>
            <w:r>
              <w:t xml:space="preserve">DHCA to </w:t>
            </w:r>
            <w:r w:rsidRPr="00C40529">
              <w:t xml:space="preserve">cooperate with any governmental or private entity </w:t>
            </w:r>
            <w:r>
              <w:t xml:space="preserve">and </w:t>
            </w:r>
            <w:r w:rsidR="00083E18">
              <w:t xml:space="preserve">to </w:t>
            </w:r>
            <w:r w:rsidRPr="00C40529">
              <w:t xml:space="preserve">use gifts, grants, donations, or money appropriated to </w:t>
            </w:r>
            <w:r>
              <w:t xml:space="preserve">TDHCA </w:t>
            </w:r>
            <w:r w:rsidRPr="00C40529">
              <w:t xml:space="preserve">to carry out </w:t>
            </w:r>
            <w:r>
              <w:t>its</w:t>
            </w:r>
            <w:r w:rsidRPr="00C40529">
              <w:t xml:space="preserve"> duties</w:t>
            </w:r>
            <w:r w:rsidR="001406F4">
              <w:t xml:space="preserve"> under the bill</w:t>
            </w:r>
            <w:r>
              <w:t>.</w:t>
            </w:r>
          </w:p>
          <w:p w14:paraId="122660C7" w14:textId="36EB04B3" w:rsidR="00D16CC8" w:rsidRDefault="00D16CC8" w:rsidP="006B0FA8">
            <w:pPr>
              <w:pStyle w:val="Header"/>
              <w:jc w:val="both"/>
            </w:pPr>
          </w:p>
          <w:p w14:paraId="71202A01" w14:textId="6E845ABB" w:rsidR="003A30D2" w:rsidRDefault="00A8780E" w:rsidP="006B0FA8">
            <w:pPr>
              <w:pStyle w:val="Header"/>
              <w:jc w:val="both"/>
            </w:pPr>
            <w:r>
              <w:t xml:space="preserve">C.S.H.B. 5255 authorizes the governing </w:t>
            </w:r>
            <w:r w:rsidR="00E613AD" w:rsidRPr="00E613AD">
              <w:t>bod</w:t>
            </w:r>
            <w:r w:rsidR="00663BB8">
              <w:t>ies</w:t>
            </w:r>
            <w:r w:rsidR="00E613AD" w:rsidRPr="00E613AD">
              <w:t xml:space="preserve"> </w:t>
            </w:r>
            <w:r w:rsidR="00E613AD">
              <w:t xml:space="preserve">of </w:t>
            </w:r>
            <w:r w:rsidR="00663BB8">
              <w:t xml:space="preserve">the </w:t>
            </w:r>
            <w:r>
              <w:t xml:space="preserve">following municipalities to </w:t>
            </w:r>
            <w:r w:rsidRPr="003A30D2">
              <w:t>appropri</w:t>
            </w:r>
            <w:r w:rsidRPr="003A30D2">
              <w:t xml:space="preserve">ate </w:t>
            </w:r>
            <w:r>
              <w:t xml:space="preserve">a certain amount </w:t>
            </w:r>
            <w:r w:rsidRPr="003A30D2">
              <w:t>from its general fund</w:t>
            </w:r>
            <w:r>
              <w:t xml:space="preserve"> </w:t>
            </w:r>
            <w:r w:rsidRPr="003A30D2">
              <w:t>for the purpose of</w:t>
            </w:r>
            <w:r>
              <w:t xml:space="preserve"> </w:t>
            </w:r>
            <w:r w:rsidRPr="003A30D2">
              <w:t>promoting awareness of affordable housing options in the municipality, including by promoting the database</w:t>
            </w:r>
            <w:r w:rsidR="003C7FC6">
              <w:t>:</w:t>
            </w:r>
          </w:p>
          <w:p w14:paraId="5C45DB82" w14:textId="5DA643F0" w:rsidR="00E613AD" w:rsidRDefault="00A8780E" w:rsidP="006B0FA8">
            <w:pPr>
              <w:pStyle w:val="Header"/>
              <w:numPr>
                <w:ilvl w:val="0"/>
                <w:numId w:val="3"/>
              </w:numPr>
              <w:jc w:val="both"/>
            </w:pPr>
            <w:r w:rsidRPr="00E613AD">
              <w:t>a municipality with a population of 900,000 or less</w:t>
            </w:r>
            <w:r>
              <w:t>; or</w:t>
            </w:r>
          </w:p>
          <w:p w14:paraId="124DA9B3" w14:textId="4E892627" w:rsidR="00E613AD" w:rsidRDefault="00A8780E" w:rsidP="006B0FA8">
            <w:pPr>
              <w:pStyle w:val="Header"/>
              <w:numPr>
                <w:ilvl w:val="0"/>
                <w:numId w:val="3"/>
              </w:numPr>
              <w:jc w:val="both"/>
            </w:pPr>
            <w:r w:rsidRPr="00E613AD">
              <w:t xml:space="preserve">a general-law </w:t>
            </w:r>
            <w:r w:rsidRPr="00E613AD">
              <w:t>municipality</w:t>
            </w:r>
            <w:r>
              <w:t>.</w:t>
            </w:r>
          </w:p>
          <w:p w14:paraId="34671111" w14:textId="3C1C4EF3" w:rsidR="009C36CD" w:rsidRPr="009C36CD" w:rsidRDefault="009C36CD" w:rsidP="006B0FA8">
            <w:pPr>
              <w:pStyle w:val="Header"/>
              <w:jc w:val="both"/>
            </w:pPr>
          </w:p>
          <w:p w14:paraId="71067FE8" w14:textId="77777777" w:rsidR="008423E4" w:rsidRPr="00835628" w:rsidRDefault="008423E4" w:rsidP="006B0FA8">
            <w:pPr>
              <w:rPr>
                <w:b/>
              </w:rPr>
            </w:pPr>
          </w:p>
        </w:tc>
      </w:tr>
      <w:tr w:rsidR="002C796C" w14:paraId="0AF4139F" w14:textId="77777777" w:rsidTr="00345119">
        <w:tc>
          <w:tcPr>
            <w:tcW w:w="9576" w:type="dxa"/>
          </w:tcPr>
          <w:p w14:paraId="5A6074F8" w14:textId="77777777" w:rsidR="008423E4" w:rsidRPr="00A8133F" w:rsidRDefault="00A8780E" w:rsidP="006B0FA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17436D8" w14:textId="77777777" w:rsidR="008423E4" w:rsidRDefault="008423E4" w:rsidP="006B0FA8"/>
          <w:p w14:paraId="2268D3C3" w14:textId="11A810E5" w:rsidR="008423E4" w:rsidRPr="003624F2" w:rsidRDefault="00A8780E" w:rsidP="006B0F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A90AAC5" w14:textId="77777777" w:rsidR="008423E4" w:rsidRPr="00233FDB" w:rsidRDefault="008423E4" w:rsidP="006B0FA8">
            <w:pPr>
              <w:rPr>
                <w:b/>
              </w:rPr>
            </w:pPr>
          </w:p>
        </w:tc>
      </w:tr>
      <w:tr w:rsidR="002C796C" w14:paraId="50E97D52" w14:textId="77777777" w:rsidTr="00345119">
        <w:tc>
          <w:tcPr>
            <w:tcW w:w="9576" w:type="dxa"/>
          </w:tcPr>
          <w:p w14:paraId="50A17C40" w14:textId="77777777" w:rsidR="00E249B7" w:rsidRDefault="00A8780E" w:rsidP="006B0FA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B14E882" w14:textId="77777777" w:rsidR="00C25F60" w:rsidRDefault="00C25F60" w:rsidP="006B0FA8">
            <w:pPr>
              <w:jc w:val="both"/>
            </w:pPr>
          </w:p>
          <w:p w14:paraId="5D04ED93" w14:textId="6B29A935" w:rsidR="00031D6D" w:rsidRDefault="00A8780E" w:rsidP="006B0FA8">
            <w:pPr>
              <w:jc w:val="both"/>
            </w:pPr>
            <w:r>
              <w:t xml:space="preserve">While C.S.H.B. 5255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384D4ED0" w14:textId="77777777" w:rsidR="0080012D" w:rsidRDefault="0080012D" w:rsidP="006B0FA8">
            <w:pPr>
              <w:jc w:val="both"/>
            </w:pPr>
          </w:p>
          <w:p w14:paraId="7A261DCF" w14:textId="548DA3F7" w:rsidR="00671490" w:rsidRDefault="00A8780E" w:rsidP="006B0FA8">
            <w:pPr>
              <w:pStyle w:val="Header"/>
              <w:tabs>
                <w:tab w:val="left" w:pos="2205"/>
              </w:tabs>
              <w:jc w:val="both"/>
            </w:pPr>
            <w:r w:rsidRPr="0087740A">
              <w:t xml:space="preserve">The substitute </w:t>
            </w:r>
            <w:r>
              <w:t>revises the provisions regarding the annual municipal survey as follows:</w:t>
            </w:r>
          </w:p>
          <w:p w14:paraId="25FD3E5A" w14:textId="1F4EC661" w:rsidR="00373FA3" w:rsidRDefault="00A8780E" w:rsidP="006B0FA8">
            <w:pPr>
              <w:pStyle w:val="Header"/>
              <w:numPr>
                <w:ilvl w:val="0"/>
                <w:numId w:val="4"/>
              </w:numPr>
              <w:tabs>
                <w:tab w:val="left" w:pos="2205"/>
              </w:tabs>
              <w:jc w:val="both"/>
            </w:pPr>
            <w:r>
              <w:t>omits provisions relating to</w:t>
            </w:r>
            <w:r w:rsidR="0087740A" w:rsidRPr="0087740A">
              <w:t xml:space="preserve"> </w:t>
            </w:r>
            <w:r w:rsidR="0087740A">
              <w:t>the</w:t>
            </w:r>
            <w:r w:rsidR="0087740A" w:rsidRPr="0087740A">
              <w:t xml:space="preserve"> </w:t>
            </w:r>
            <w:r>
              <w:t xml:space="preserve">survey's </w:t>
            </w:r>
            <w:r w:rsidR="0087740A">
              <w:t>purpose</w:t>
            </w:r>
            <w:r w:rsidR="008A6DCB">
              <w:t xml:space="preserve"> which were present in the introduced;</w:t>
            </w:r>
            <w:r w:rsidR="0087740A">
              <w:t xml:space="preserve"> </w:t>
            </w:r>
          </w:p>
          <w:p w14:paraId="0F0A68F2" w14:textId="502B9CB7" w:rsidR="005C6E1C" w:rsidRDefault="00A8780E" w:rsidP="006B0FA8">
            <w:pPr>
              <w:pStyle w:val="Header"/>
              <w:numPr>
                <w:ilvl w:val="0"/>
                <w:numId w:val="4"/>
              </w:numPr>
              <w:tabs>
                <w:tab w:val="left" w:pos="2205"/>
              </w:tabs>
              <w:jc w:val="both"/>
            </w:pPr>
            <w:r>
              <w:t>applies to a municipality q</w:t>
            </w:r>
            <w:r w:rsidRPr="008732A4">
              <w:t>ualified to receive federal grants under the community development block grant entitlement program</w:t>
            </w:r>
            <w:r>
              <w:t xml:space="preserve">, whereas the introduced applied to a municipality with a population of 100,000 or more; </w:t>
            </w:r>
            <w:r w:rsidR="00BE3F05">
              <w:t>and</w:t>
            </w:r>
          </w:p>
          <w:p w14:paraId="277AB034" w14:textId="74D09440" w:rsidR="0087740A" w:rsidRDefault="00A8780E" w:rsidP="006B0FA8">
            <w:pPr>
              <w:pStyle w:val="Header"/>
              <w:numPr>
                <w:ilvl w:val="0"/>
                <w:numId w:val="4"/>
              </w:numPr>
              <w:tabs>
                <w:tab w:val="left" w:pos="2205"/>
              </w:tabs>
              <w:jc w:val="both"/>
            </w:pPr>
            <w:r>
              <w:t>includes provisions that did not appear in the introduced requiring TDHCA</w:t>
            </w:r>
            <w:r w:rsidR="00E01226">
              <w:t xml:space="preserve"> to adopt rules relating to the survey</w:t>
            </w:r>
            <w:r w:rsidR="00F94F36">
              <w:t xml:space="preserve"> and</w:t>
            </w:r>
            <w:r w:rsidR="00E01226">
              <w:t xml:space="preserve"> to publish reports on the availability of affordable housing, </w:t>
            </w:r>
            <w:r w:rsidR="00BE3F05">
              <w:t xml:space="preserve">and authorizing TDHCA to </w:t>
            </w:r>
            <w:r w:rsidR="00BE3F05" w:rsidRPr="00C40529">
              <w:t xml:space="preserve">cooperate with any governmental or private entity </w:t>
            </w:r>
            <w:r w:rsidR="00BE3F05">
              <w:t xml:space="preserve">and to </w:t>
            </w:r>
            <w:r w:rsidR="00BE3F05" w:rsidRPr="00C40529">
              <w:t xml:space="preserve">use gifts, grants, donations, or money appropriated to </w:t>
            </w:r>
            <w:r w:rsidR="00BE3F05">
              <w:t xml:space="preserve">TDHCA </w:t>
            </w:r>
            <w:r w:rsidR="00BE3F05" w:rsidRPr="00C40529">
              <w:t xml:space="preserve">to carry out </w:t>
            </w:r>
            <w:r w:rsidR="00BE3F05">
              <w:t>those</w:t>
            </w:r>
            <w:r w:rsidR="00BE3F05" w:rsidRPr="00C40529">
              <w:t xml:space="preserve"> duties</w:t>
            </w:r>
            <w:r w:rsidR="0080012D">
              <w:t>.</w:t>
            </w:r>
          </w:p>
          <w:p w14:paraId="5498220E" w14:textId="45DEF492" w:rsidR="00C25F60" w:rsidRDefault="00A8780E" w:rsidP="006B0FA8">
            <w:pPr>
              <w:pStyle w:val="Header"/>
              <w:tabs>
                <w:tab w:val="clear" w:pos="4320"/>
                <w:tab w:val="clear" w:pos="8640"/>
                <w:tab w:val="left" w:pos="2205"/>
              </w:tabs>
              <w:jc w:val="both"/>
            </w:pPr>
            <w:r>
              <w:tab/>
            </w:r>
          </w:p>
          <w:p w14:paraId="1A68C157" w14:textId="25DC833B" w:rsidR="00C25F60" w:rsidRDefault="00C25F60" w:rsidP="006B0FA8">
            <w:pPr>
              <w:pStyle w:val="Header"/>
              <w:jc w:val="both"/>
            </w:pPr>
          </w:p>
          <w:p w14:paraId="5E2873A6" w14:textId="6253B232" w:rsidR="00C25F60" w:rsidRPr="00C25F60" w:rsidRDefault="00C25F60" w:rsidP="006B0FA8">
            <w:pPr>
              <w:jc w:val="both"/>
            </w:pPr>
          </w:p>
        </w:tc>
      </w:tr>
      <w:tr w:rsidR="002C796C" w14:paraId="5D172B80" w14:textId="77777777" w:rsidTr="00345119">
        <w:tc>
          <w:tcPr>
            <w:tcW w:w="9576" w:type="dxa"/>
          </w:tcPr>
          <w:p w14:paraId="2879A0B6" w14:textId="77777777" w:rsidR="00E249B7" w:rsidRPr="009C1E9A" w:rsidRDefault="00E249B7" w:rsidP="006B0FA8">
            <w:pPr>
              <w:rPr>
                <w:b/>
                <w:u w:val="single"/>
              </w:rPr>
            </w:pPr>
          </w:p>
        </w:tc>
      </w:tr>
      <w:tr w:rsidR="002C796C" w14:paraId="7F01B915" w14:textId="77777777" w:rsidTr="00345119">
        <w:tc>
          <w:tcPr>
            <w:tcW w:w="9576" w:type="dxa"/>
          </w:tcPr>
          <w:p w14:paraId="5CECAEFB" w14:textId="77777777" w:rsidR="00E249B7" w:rsidRPr="00E249B7" w:rsidRDefault="00E249B7" w:rsidP="006B0FA8">
            <w:pPr>
              <w:jc w:val="both"/>
            </w:pPr>
          </w:p>
        </w:tc>
      </w:tr>
    </w:tbl>
    <w:p w14:paraId="00265C09" w14:textId="77777777" w:rsidR="008423E4" w:rsidRPr="00BE0E75" w:rsidRDefault="008423E4" w:rsidP="006B0FA8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04DC" w14:textId="77777777" w:rsidR="00000000" w:rsidRDefault="00A8780E">
      <w:r>
        <w:separator/>
      </w:r>
    </w:p>
  </w:endnote>
  <w:endnote w:type="continuationSeparator" w:id="0">
    <w:p w14:paraId="7E409E9E" w14:textId="77777777" w:rsidR="00000000" w:rsidRDefault="00A8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61F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C796C" w14:paraId="3B7CB50B" w14:textId="77777777" w:rsidTr="009C1E9A">
      <w:trPr>
        <w:cantSplit/>
      </w:trPr>
      <w:tc>
        <w:tcPr>
          <w:tcW w:w="0" w:type="pct"/>
        </w:tcPr>
        <w:p w14:paraId="27716C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4A09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69E59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98A3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C805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796C" w14:paraId="42158C2B" w14:textId="77777777" w:rsidTr="009C1E9A">
      <w:trPr>
        <w:cantSplit/>
      </w:trPr>
      <w:tc>
        <w:tcPr>
          <w:tcW w:w="0" w:type="pct"/>
        </w:tcPr>
        <w:p w14:paraId="3A3A4B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68914E" w14:textId="77777777" w:rsidR="00EC379B" w:rsidRPr="009C1E9A" w:rsidRDefault="00A8780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27290-D</w:t>
          </w:r>
        </w:p>
      </w:tc>
      <w:tc>
        <w:tcPr>
          <w:tcW w:w="2453" w:type="pct"/>
        </w:tcPr>
        <w:p w14:paraId="6B9B5B96" w14:textId="42CEB2F6" w:rsidR="00EC379B" w:rsidRDefault="00A8780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B0FA8">
            <w:t>23.122.678</w:t>
          </w:r>
          <w:r>
            <w:fldChar w:fldCharType="end"/>
          </w:r>
        </w:p>
      </w:tc>
    </w:tr>
    <w:tr w:rsidR="002C796C" w14:paraId="7A95C6B4" w14:textId="77777777" w:rsidTr="009C1E9A">
      <w:trPr>
        <w:cantSplit/>
      </w:trPr>
      <w:tc>
        <w:tcPr>
          <w:tcW w:w="0" w:type="pct"/>
        </w:tcPr>
        <w:p w14:paraId="4FAF1F1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C47BA07" w14:textId="77777777" w:rsidR="00EC379B" w:rsidRPr="009C1E9A" w:rsidRDefault="00A8780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21239</w:t>
          </w:r>
        </w:p>
      </w:tc>
      <w:tc>
        <w:tcPr>
          <w:tcW w:w="2453" w:type="pct"/>
        </w:tcPr>
        <w:p w14:paraId="36B852C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4C1A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796C" w14:paraId="3AA5EC7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EF4DFB9" w14:textId="77777777" w:rsidR="00EC379B" w:rsidRDefault="00A8780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337B1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6C703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36D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C8CC" w14:textId="77777777" w:rsidR="00000000" w:rsidRDefault="00A8780E">
      <w:r>
        <w:separator/>
      </w:r>
    </w:p>
  </w:footnote>
  <w:footnote w:type="continuationSeparator" w:id="0">
    <w:p w14:paraId="68FE5980" w14:textId="77777777" w:rsidR="00000000" w:rsidRDefault="00A8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F41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54A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0E1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D60"/>
    <w:multiLevelType w:val="hybridMultilevel"/>
    <w:tmpl w:val="9844F43A"/>
    <w:lvl w:ilvl="0" w:tplc="64D60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48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23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B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03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83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C1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47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4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19A3"/>
    <w:multiLevelType w:val="hybridMultilevel"/>
    <w:tmpl w:val="777421DC"/>
    <w:lvl w:ilvl="0" w:tplc="D4789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0F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4A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6A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C3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D29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09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46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0B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20486"/>
    <w:multiLevelType w:val="hybridMultilevel"/>
    <w:tmpl w:val="AF2E1822"/>
    <w:lvl w:ilvl="0" w:tplc="21D2D22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DA883F04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DF8C8308" w:tentative="1">
      <w:start w:val="1"/>
      <w:numFmt w:val="lowerRoman"/>
      <w:lvlText w:val="%3."/>
      <w:lvlJc w:val="right"/>
      <w:pPr>
        <w:ind w:left="2160" w:hanging="180"/>
      </w:pPr>
    </w:lvl>
    <w:lvl w:ilvl="3" w:tplc="3F74C8EA" w:tentative="1">
      <w:start w:val="1"/>
      <w:numFmt w:val="decimal"/>
      <w:lvlText w:val="%4."/>
      <w:lvlJc w:val="left"/>
      <w:pPr>
        <w:ind w:left="2880" w:hanging="360"/>
      </w:pPr>
    </w:lvl>
    <w:lvl w:ilvl="4" w:tplc="669867BA" w:tentative="1">
      <w:start w:val="1"/>
      <w:numFmt w:val="lowerLetter"/>
      <w:lvlText w:val="%5."/>
      <w:lvlJc w:val="left"/>
      <w:pPr>
        <w:ind w:left="3600" w:hanging="360"/>
      </w:pPr>
    </w:lvl>
    <w:lvl w:ilvl="5" w:tplc="A0427022" w:tentative="1">
      <w:start w:val="1"/>
      <w:numFmt w:val="lowerRoman"/>
      <w:lvlText w:val="%6."/>
      <w:lvlJc w:val="right"/>
      <w:pPr>
        <w:ind w:left="4320" w:hanging="180"/>
      </w:pPr>
    </w:lvl>
    <w:lvl w:ilvl="6" w:tplc="5A5618C6" w:tentative="1">
      <w:start w:val="1"/>
      <w:numFmt w:val="decimal"/>
      <w:lvlText w:val="%7."/>
      <w:lvlJc w:val="left"/>
      <w:pPr>
        <w:ind w:left="5040" w:hanging="360"/>
      </w:pPr>
    </w:lvl>
    <w:lvl w:ilvl="7" w:tplc="A89C0410" w:tentative="1">
      <w:start w:val="1"/>
      <w:numFmt w:val="lowerLetter"/>
      <w:lvlText w:val="%8."/>
      <w:lvlJc w:val="left"/>
      <w:pPr>
        <w:ind w:left="5760" w:hanging="360"/>
      </w:pPr>
    </w:lvl>
    <w:lvl w:ilvl="8" w:tplc="19A8C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E5DC1"/>
    <w:multiLevelType w:val="hybridMultilevel"/>
    <w:tmpl w:val="19788F8E"/>
    <w:lvl w:ilvl="0" w:tplc="A0BC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04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C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4F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0C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CA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46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A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47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37849">
    <w:abstractNumId w:val="1"/>
  </w:num>
  <w:num w:numId="2" w16cid:durableId="1265652379">
    <w:abstractNumId w:val="2"/>
  </w:num>
  <w:num w:numId="3" w16cid:durableId="1743915261">
    <w:abstractNumId w:val="0"/>
  </w:num>
  <w:num w:numId="4" w16cid:durableId="586352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B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BBA"/>
    <w:rsid w:val="00027E81"/>
    <w:rsid w:val="00030AD8"/>
    <w:rsid w:val="0003107A"/>
    <w:rsid w:val="00031C95"/>
    <w:rsid w:val="00031D6D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E1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6F4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75A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E7F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40A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96C"/>
    <w:rsid w:val="002D05CC"/>
    <w:rsid w:val="002D305A"/>
    <w:rsid w:val="002E21B8"/>
    <w:rsid w:val="002E7DF9"/>
    <w:rsid w:val="002F097B"/>
    <w:rsid w:val="002F2147"/>
    <w:rsid w:val="002F2633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7FC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FA3"/>
    <w:rsid w:val="003747BA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0D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FC6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B70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D65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4EA"/>
    <w:rsid w:val="00553A7E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E1C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1EFA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BB8"/>
    <w:rsid w:val="0066485B"/>
    <w:rsid w:val="0067036E"/>
    <w:rsid w:val="00671490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FA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5B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31C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12D"/>
    <w:rsid w:val="00800C63"/>
    <w:rsid w:val="00802243"/>
    <w:rsid w:val="008023D4"/>
    <w:rsid w:val="00804124"/>
    <w:rsid w:val="00805402"/>
    <w:rsid w:val="0080765F"/>
    <w:rsid w:val="00812BE3"/>
    <w:rsid w:val="00812FF1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2A4"/>
    <w:rsid w:val="00873ED6"/>
    <w:rsid w:val="00874C05"/>
    <w:rsid w:val="0087588B"/>
    <w:rsid w:val="0087680A"/>
    <w:rsid w:val="008774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DCB"/>
    <w:rsid w:val="008B05D8"/>
    <w:rsid w:val="008B0B3D"/>
    <w:rsid w:val="008B2B1A"/>
    <w:rsid w:val="008B3428"/>
    <w:rsid w:val="008B4A91"/>
    <w:rsid w:val="008B663D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176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375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6E3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80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98D"/>
    <w:rsid w:val="00AF7C74"/>
    <w:rsid w:val="00B000AF"/>
    <w:rsid w:val="00B041EA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557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444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3F05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F60"/>
    <w:rsid w:val="00C2766F"/>
    <w:rsid w:val="00C3223B"/>
    <w:rsid w:val="00C333C6"/>
    <w:rsid w:val="00C35CC5"/>
    <w:rsid w:val="00C361C5"/>
    <w:rsid w:val="00C377D1"/>
    <w:rsid w:val="00C37BDA"/>
    <w:rsid w:val="00C37C84"/>
    <w:rsid w:val="00C40529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CC8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3D79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226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9B7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3AD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F36"/>
    <w:rsid w:val="00F96602"/>
    <w:rsid w:val="00F9735A"/>
    <w:rsid w:val="00FA32FC"/>
    <w:rsid w:val="00FA59FD"/>
    <w:rsid w:val="00FA5D8C"/>
    <w:rsid w:val="00FA6403"/>
    <w:rsid w:val="00FB16CD"/>
    <w:rsid w:val="00FB628C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204095-318C-4FA4-83DA-58617FD2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C6E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6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6E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6E7F"/>
    <w:rPr>
      <w:b/>
      <w:bCs/>
    </w:rPr>
  </w:style>
  <w:style w:type="paragraph" w:styleId="Revision">
    <w:name w:val="Revision"/>
    <w:hidden/>
    <w:uiPriority w:val="99"/>
    <w:semiHidden/>
    <w:rsid w:val="004E2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5109</Characters>
  <Application>Microsoft Office Word</Application>
  <DocSecurity>4</DocSecurity>
  <Lines>110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HB05255 (Committee Report (Substituted))</vt:lpstr>
    </vt:vector>
  </TitlesOfParts>
  <Company>State of Texas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27290</dc:subject>
  <dc:creator>State of Texas</dc:creator>
  <dc:description>HB 5255 by Lopez, Ray-(H)Urban Affairs (Substitute Document Number: 88R 21239)</dc:description>
  <cp:lastModifiedBy>Stacey Nicchio</cp:lastModifiedBy>
  <cp:revision>2</cp:revision>
  <cp:lastPrinted>2003-11-26T17:21:00Z</cp:lastPrinted>
  <dcterms:created xsi:type="dcterms:W3CDTF">2023-05-03T23:31:00Z</dcterms:created>
  <dcterms:modified xsi:type="dcterms:W3CDTF">2023-05-03T23:31:00Z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23.122.678</vt:lpwstr>
  </property>
</Properties>
</file>