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4DFC" w14:paraId="33D0A244" w14:textId="77777777" w:rsidTr="00345119">
        <w:tc>
          <w:tcPr>
            <w:tcW w:w="9576" w:type="dxa"/>
            <w:noWrap/>
          </w:tcPr>
          <w:p w14:paraId="50DC7065" w14:textId="77777777" w:rsidR="008423E4" w:rsidRPr="0022177D" w:rsidRDefault="00CD7CB1" w:rsidP="00841EA6">
            <w:pPr>
              <w:pStyle w:val="Heading1"/>
            </w:pPr>
            <w:r w:rsidRPr="00631897">
              <w:t>BILL ANALYSIS</w:t>
            </w:r>
          </w:p>
        </w:tc>
      </w:tr>
    </w:tbl>
    <w:p w14:paraId="65EDE0CB" w14:textId="77777777" w:rsidR="008423E4" w:rsidRPr="00E96961" w:rsidRDefault="008423E4" w:rsidP="00841EA6">
      <w:pPr>
        <w:jc w:val="center"/>
        <w:rPr>
          <w:sz w:val="20"/>
          <w:szCs w:val="20"/>
        </w:rPr>
      </w:pPr>
    </w:p>
    <w:p w14:paraId="71D5C0A2" w14:textId="77777777" w:rsidR="008423E4" w:rsidRPr="00E96961" w:rsidRDefault="008423E4" w:rsidP="00841EA6">
      <w:pPr>
        <w:rPr>
          <w:sz w:val="20"/>
          <w:szCs w:val="20"/>
        </w:rPr>
      </w:pPr>
    </w:p>
    <w:p w14:paraId="304BEE7B" w14:textId="77777777" w:rsidR="008423E4" w:rsidRPr="00E96961" w:rsidRDefault="008423E4" w:rsidP="00841EA6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4DFC" w14:paraId="21F8A09A" w14:textId="77777777" w:rsidTr="00345119">
        <w:tc>
          <w:tcPr>
            <w:tcW w:w="9576" w:type="dxa"/>
          </w:tcPr>
          <w:p w14:paraId="6C08A040" w14:textId="42BB0719" w:rsidR="008423E4" w:rsidRPr="00861995" w:rsidRDefault="00CD7CB1" w:rsidP="00841EA6">
            <w:pPr>
              <w:jc w:val="right"/>
            </w:pPr>
            <w:r>
              <w:t>H.B. 5284</w:t>
            </w:r>
          </w:p>
        </w:tc>
      </w:tr>
      <w:tr w:rsidR="00074DFC" w14:paraId="633AD20A" w14:textId="77777777" w:rsidTr="00345119">
        <w:tc>
          <w:tcPr>
            <w:tcW w:w="9576" w:type="dxa"/>
          </w:tcPr>
          <w:p w14:paraId="5A35F668" w14:textId="4EE6120F" w:rsidR="008423E4" w:rsidRPr="00861995" w:rsidRDefault="00CD7CB1" w:rsidP="00841EA6">
            <w:pPr>
              <w:jc w:val="right"/>
            </w:pPr>
            <w:r>
              <w:t xml:space="preserve">By: </w:t>
            </w:r>
            <w:r w:rsidR="003918BA">
              <w:t>Kitzman</w:t>
            </w:r>
          </w:p>
        </w:tc>
      </w:tr>
      <w:tr w:rsidR="00074DFC" w14:paraId="17A9C944" w14:textId="77777777" w:rsidTr="00345119">
        <w:tc>
          <w:tcPr>
            <w:tcW w:w="9576" w:type="dxa"/>
          </w:tcPr>
          <w:p w14:paraId="6298B6CD" w14:textId="79468FD9" w:rsidR="008423E4" w:rsidRPr="00861995" w:rsidRDefault="00CD7CB1" w:rsidP="00841EA6">
            <w:pPr>
              <w:jc w:val="right"/>
            </w:pPr>
            <w:r>
              <w:t>Youth Health &amp; Safety, Select</w:t>
            </w:r>
          </w:p>
        </w:tc>
      </w:tr>
      <w:tr w:rsidR="00074DFC" w14:paraId="3E82C947" w14:textId="77777777" w:rsidTr="00345119">
        <w:tc>
          <w:tcPr>
            <w:tcW w:w="9576" w:type="dxa"/>
          </w:tcPr>
          <w:p w14:paraId="679AF3AB" w14:textId="4B84EF74" w:rsidR="008423E4" w:rsidRDefault="00CD7CB1" w:rsidP="00841EA6">
            <w:pPr>
              <w:jc w:val="right"/>
            </w:pPr>
            <w:r>
              <w:t>Committee Report (Unamended)</w:t>
            </w:r>
          </w:p>
        </w:tc>
      </w:tr>
    </w:tbl>
    <w:p w14:paraId="3A7080AF" w14:textId="77777777" w:rsidR="008423E4" w:rsidRPr="00E96961" w:rsidRDefault="008423E4" w:rsidP="00841EA6">
      <w:pPr>
        <w:tabs>
          <w:tab w:val="right" w:pos="9360"/>
        </w:tabs>
        <w:rPr>
          <w:sz w:val="20"/>
          <w:szCs w:val="20"/>
        </w:rPr>
      </w:pPr>
    </w:p>
    <w:p w14:paraId="090595E4" w14:textId="77777777" w:rsidR="008423E4" w:rsidRPr="00E96961" w:rsidRDefault="008423E4" w:rsidP="00841EA6">
      <w:pPr>
        <w:rPr>
          <w:sz w:val="20"/>
          <w:szCs w:val="20"/>
        </w:rPr>
      </w:pPr>
    </w:p>
    <w:p w14:paraId="3653F6EA" w14:textId="77777777" w:rsidR="008423E4" w:rsidRPr="00E96961" w:rsidRDefault="008423E4" w:rsidP="00841EA6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4DFC" w14:paraId="00E352B3" w14:textId="77777777" w:rsidTr="00345119">
        <w:tc>
          <w:tcPr>
            <w:tcW w:w="9576" w:type="dxa"/>
          </w:tcPr>
          <w:p w14:paraId="4E34337E" w14:textId="77777777" w:rsidR="008423E4" w:rsidRPr="00A8133F" w:rsidRDefault="00CD7CB1" w:rsidP="00841E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A8435D" w14:textId="77777777" w:rsidR="008423E4" w:rsidRPr="00BD4C3F" w:rsidRDefault="008423E4" w:rsidP="00841EA6">
            <w:pPr>
              <w:rPr>
                <w:sz w:val="20"/>
                <w:szCs w:val="20"/>
              </w:rPr>
            </w:pPr>
          </w:p>
          <w:p w14:paraId="047201BA" w14:textId="77777777" w:rsidR="008423E4" w:rsidRDefault="00CD7CB1" w:rsidP="00841EA6">
            <w:pPr>
              <w:pStyle w:val="Header"/>
              <w:jc w:val="both"/>
            </w:pPr>
            <w:r>
              <w:t>In the wake of school shootings in Texas and around the U</w:t>
            </w:r>
            <w:r w:rsidR="00323C50">
              <w:t xml:space="preserve">nited </w:t>
            </w:r>
            <w:r>
              <w:t>S</w:t>
            </w:r>
            <w:r w:rsidR="00323C50">
              <w:t>tates</w:t>
            </w:r>
            <w:r>
              <w:t xml:space="preserve">, a tremendous amount of media coverage exists regarding additional school safety initiatives and funding. </w:t>
            </w:r>
            <w:r w:rsidR="00AD3BFC">
              <w:t>However, t</w:t>
            </w:r>
            <w:r>
              <w:t>he reality is that school shooters are opportunists and soft targets are a preferred area of attack. As schools become more hardened and se</w:t>
            </w:r>
            <w:r>
              <w:t xml:space="preserve">cure, </w:t>
            </w:r>
            <w:r w:rsidR="00AD3BFC">
              <w:t>child</w:t>
            </w:r>
            <w:r w:rsidR="00323C50">
              <w:t>-</w:t>
            </w:r>
            <w:r w:rsidR="00AD3BFC">
              <w:t xml:space="preserve">care centers may emerge as </w:t>
            </w:r>
            <w:r>
              <w:t xml:space="preserve">alternate targets of opportunity. </w:t>
            </w:r>
            <w:r w:rsidR="00307132">
              <w:t xml:space="preserve">While the </w:t>
            </w:r>
            <w:r>
              <w:t>Texas Administrative Code provides minimum safety response protocol standards for child</w:t>
            </w:r>
            <w:r w:rsidR="00323C50">
              <w:t>-</w:t>
            </w:r>
            <w:r>
              <w:t>care centers, including evacuation, lockdown, and shelter response protocols</w:t>
            </w:r>
            <w:r w:rsidR="00307132">
              <w:t>,</w:t>
            </w:r>
            <w:r>
              <w:t xml:space="preserve"> </w:t>
            </w:r>
            <w:r w:rsidR="00AD3BFC">
              <w:t xml:space="preserve">these </w:t>
            </w:r>
            <w:r>
              <w:t>c</w:t>
            </w:r>
            <w:r>
              <w:t xml:space="preserve">enters are not required to conduct safety audits needed to identify and correct deficiencies. In addition, there is no standardized progress monitoring of </w:t>
            </w:r>
            <w:r w:rsidR="00AD3BFC">
              <w:t xml:space="preserve">the efficiency of safety and security </w:t>
            </w:r>
            <w:r>
              <w:t xml:space="preserve">for such facilities. </w:t>
            </w:r>
            <w:r w:rsidR="00307132">
              <w:t xml:space="preserve">H.B. 5284 </w:t>
            </w:r>
            <w:r>
              <w:t>seeks to resolve th</w:t>
            </w:r>
            <w:r w:rsidR="00307132">
              <w:t>is</w:t>
            </w:r>
            <w:r>
              <w:t xml:space="preserve"> issue by r</w:t>
            </w:r>
            <w:r>
              <w:t xml:space="preserve">equiring the </w:t>
            </w:r>
            <w:r w:rsidR="00AD3BFC">
              <w:t xml:space="preserve">Texas School Safety Center </w:t>
            </w:r>
            <w:r>
              <w:t>to adopt safety and security audit procedures for licensed child</w:t>
            </w:r>
            <w:r w:rsidR="00323C50">
              <w:t>-</w:t>
            </w:r>
            <w:r>
              <w:t>care centers</w:t>
            </w:r>
            <w:r w:rsidR="00AD3BFC">
              <w:t xml:space="preserve"> in collaboration with the Health and Human Services Commission</w:t>
            </w:r>
            <w:r>
              <w:t xml:space="preserve">. </w:t>
            </w:r>
          </w:p>
          <w:p w14:paraId="4101E60D" w14:textId="2EFEEA5F" w:rsidR="00895062" w:rsidRPr="00E26B13" w:rsidRDefault="00895062" w:rsidP="00841EA6">
            <w:pPr>
              <w:pStyle w:val="Header"/>
              <w:jc w:val="both"/>
              <w:rPr>
                <w:b/>
              </w:rPr>
            </w:pPr>
          </w:p>
        </w:tc>
      </w:tr>
      <w:tr w:rsidR="00074DFC" w14:paraId="317F995C" w14:textId="77777777" w:rsidTr="00345119">
        <w:tc>
          <w:tcPr>
            <w:tcW w:w="9576" w:type="dxa"/>
          </w:tcPr>
          <w:p w14:paraId="2BE84591" w14:textId="77777777" w:rsidR="0017725B" w:rsidRDefault="00CD7CB1" w:rsidP="00841E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C1896C" w14:textId="77777777" w:rsidR="0017725B" w:rsidRPr="00BD4C3F" w:rsidRDefault="0017725B" w:rsidP="00841EA6">
            <w:pPr>
              <w:rPr>
                <w:bCs/>
                <w:sz w:val="20"/>
                <w:szCs w:val="20"/>
              </w:rPr>
            </w:pPr>
          </w:p>
          <w:p w14:paraId="6F1341A6" w14:textId="50CA5D96" w:rsidR="00B26E9F" w:rsidRPr="00B26E9F" w:rsidRDefault="00CD7CB1" w:rsidP="00841EA6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72214AA" w14:textId="77777777" w:rsidR="0017725B" w:rsidRPr="0017725B" w:rsidRDefault="0017725B" w:rsidP="00841EA6">
            <w:pPr>
              <w:rPr>
                <w:b/>
                <w:u w:val="single"/>
              </w:rPr>
            </w:pPr>
          </w:p>
        </w:tc>
      </w:tr>
      <w:tr w:rsidR="00074DFC" w14:paraId="6F8139A2" w14:textId="77777777" w:rsidTr="00345119">
        <w:tc>
          <w:tcPr>
            <w:tcW w:w="9576" w:type="dxa"/>
          </w:tcPr>
          <w:p w14:paraId="072B2742" w14:textId="77777777" w:rsidR="008423E4" w:rsidRPr="00A8133F" w:rsidRDefault="00CD7CB1" w:rsidP="00841E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8DB15F" w14:textId="77777777" w:rsidR="008423E4" w:rsidRPr="00BD4C3F" w:rsidRDefault="008423E4" w:rsidP="00841EA6">
            <w:pPr>
              <w:rPr>
                <w:sz w:val="20"/>
                <w:szCs w:val="20"/>
              </w:rPr>
            </w:pPr>
          </w:p>
          <w:p w14:paraId="179E32A7" w14:textId="2B0A00EB" w:rsidR="00B26E9F" w:rsidRDefault="00CD7CB1" w:rsidP="00841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4878EE1" w14:textId="77777777" w:rsidR="008423E4" w:rsidRPr="00E21FDC" w:rsidRDefault="008423E4" w:rsidP="00841EA6">
            <w:pPr>
              <w:rPr>
                <w:b/>
              </w:rPr>
            </w:pPr>
          </w:p>
        </w:tc>
      </w:tr>
      <w:tr w:rsidR="00074DFC" w14:paraId="172D556B" w14:textId="77777777" w:rsidTr="00345119">
        <w:tc>
          <w:tcPr>
            <w:tcW w:w="9576" w:type="dxa"/>
          </w:tcPr>
          <w:p w14:paraId="4B8CEB45" w14:textId="77777777" w:rsidR="008423E4" w:rsidRPr="00A8133F" w:rsidRDefault="00CD7CB1" w:rsidP="00841E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2A93CC" w14:textId="77777777" w:rsidR="008423E4" w:rsidRPr="0045391E" w:rsidRDefault="008423E4" w:rsidP="00841EA6">
            <w:pPr>
              <w:rPr>
                <w:sz w:val="20"/>
                <w:szCs w:val="20"/>
              </w:rPr>
            </w:pPr>
          </w:p>
          <w:p w14:paraId="55727514" w14:textId="36046691" w:rsidR="00DD4CCD" w:rsidRDefault="00CD7CB1" w:rsidP="00841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5284 amends the </w:t>
            </w:r>
            <w:r w:rsidRPr="00B26E9F">
              <w:t>Education Code</w:t>
            </w:r>
            <w:r>
              <w:t xml:space="preserve"> to require the </w:t>
            </w:r>
            <w:r w:rsidRPr="00B26E9F">
              <w:t xml:space="preserve">Texas School Safety </w:t>
            </w:r>
            <w:r w:rsidRPr="00B26E9F">
              <w:t>Center</w:t>
            </w:r>
            <w:r>
              <w:t xml:space="preserve"> (TxSSC),</w:t>
            </w:r>
            <w:r w:rsidRPr="00B26E9F">
              <w:t xml:space="preserve"> in collaboration with the Health and Human Services Commission</w:t>
            </w:r>
            <w:r w:rsidR="00B13ED2">
              <w:t xml:space="preserve"> (HHSC)</w:t>
            </w:r>
            <w:r>
              <w:t>, to do the following:</w:t>
            </w:r>
          </w:p>
          <w:p w14:paraId="3E342957" w14:textId="043D7612" w:rsidR="00DD4CCD" w:rsidRDefault="00CD7CB1" w:rsidP="00841EA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26E9F">
              <w:t>research best practices regarding emergency preparedness</w:t>
            </w:r>
            <w:r>
              <w:t xml:space="preserve"> </w:t>
            </w:r>
            <w:r w:rsidR="00153D43">
              <w:t xml:space="preserve">of </w:t>
            </w:r>
            <w:r w:rsidR="00153D43" w:rsidRPr="00D820E5">
              <w:t>day-care center</w:t>
            </w:r>
            <w:r w:rsidR="00153D43">
              <w:t>s</w:t>
            </w:r>
            <w:r w:rsidR="00D93CD9">
              <w:t>, as defined by the Human Resources Code,</w:t>
            </w:r>
            <w:r w:rsidR="00153D43">
              <w:t xml:space="preserve"> </w:t>
            </w:r>
            <w:r>
              <w:t>and serve as a clearinghouse f</w:t>
            </w:r>
            <w:r>
              <w:t>or that information;</w:t>
            </w:r>
            <w:r w:rsidR="00024F2C">
              <w:t xml:space="preserve"> </w:t>
            </w:r>
          </w:p>
          <w:p w14:paraId="39038A97" w14:textId="4EF3FADB" w:rsidR="00A33760" w:rsidRDefault="00CD7CB1" w:rsidP="00841EA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develop safety and security audit procedures for day-care centers</w:t>
            </w:r>
            <w:r w:rsidR="00153D43">
              <w:t xml:space="preserve"> that include</w:t>
            </w:r>
            <w:r w:rsidR="0058577D">
              <w:rPr>
                <w:rStyle w:val="CommentReference"/>
              </w:rPr>
              <w:t xml:space="preserve"> </w:t>
            </w:r>
            <w:r w:rsidR="0058577D">
              <w:t xml:space="preserve">the </w:t>
            </w:r>
            <w:r w:rsidR="00671688">
              <w:t>required frequency of the audits and the manner in which the audit results must be reported</w:t>
            </w:r>
            <w:r w:rsidR="00D93CD9">
              <w:t xml:space="preserve"> to the TxSSC</w:t>
            </w:r>
            <w:r>
              <w:t>;</w:t>
            </w:r>
          </w:p>
          <w:p w14:paraId="7BCD8FA8" w14:textId="3DB08C4F" w:rsidR="00DD4CCD" w:rsidRDefault="00CD7CB1" w:rsidP="00841EA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26E9F">
              <w:t>develop and publish guidelines for standard e</w:t>
            </w:r>
            <w:r w:rsidRPr="00B26E9F">
              <w:t>mergency response protocol requirements</w:t>
            </w:r>
            <w:r>
              <w:t>;</w:t>
            </w:r>
            <w:r w:rsidRPr="00B26E9F">
              <w:t xml:space="preserve"> and</w:t>
            </w:r>
            <w:r>
              <w:t xml:space="preserve"> </w:t>
            </w:r>
          </w:p>
          <w:p w14:paraId="15344B1C" w14:textId="53A217BB" w:rsidR="00B26E9F" w:rsidRDefault="00CD7CB1" w:rsidP="00841EA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26E9F">
              <w:t xml:space="preserve">provide day-care centers with </w:t>
            </w:r>
            <w:r w:rsidR="00DD4CCD">
              <w:t>safety and standard emergency response protocol</w:t>
            </w:r>
            <w:r w:rsidR="00DD4CCD" w:rsidRPr="00B26E9F">
              <w:t xml:space="preserve"> </w:t>
            </w:r>
            <w:r w:rsidRPr="00B26E9F">
              <w:t>training and technical assistance.</w:t>
            </w:r>
            <w:r w:rsidR="00156B48">
              <w:t xml:space="preserve"> </w:t>
            </w:r>
          </w:p>
          <w:p w14:paraId="3B9022FA" w14:textId="77C366D4" w:rsidR="00506F2B" w:rsidRPr="0045391E" w:rsidRDefault="00506F2B" w:rsidP="00841EA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32240DBE" w14:textId="0C75451E" w:rsidR="00DD4CCD" w:rsidRDefault="00CD7CB1" w:rsidP="00841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5284</w:t>
            </w:r>
            <w:r w:rsidR="00506F2B">
              <w:t xml:space="preserve"> </w:t>
            </w:r>
            <w:r>
              <w:t xml:space="preserve">amends the Human Resources Code to </w:t>
            </w:r>
            <w:r w:rsidR="00156B48">
              <w:t xml:space="preserve">require each day-care center to </w:t>
            </w:r>
            <w:r>
              <w:t xml:space="preserve">do the following: </w:t>
            </w:r>
          </w:p>
          <w:p w14:paraId="7765E6A9" w14:textId="0B810ABC" w:rsidR="00DD4CCD" w:rsidRDefault="00CD7CB1" w:rsidP="00841EA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follow the standard </w:t>
            </w:r>
            <w:r w:rsidRPr="00156B48">
              <w:t>emergency response protocol guidelines</w:t>
            </w:r>
            <w:r>
              <w:t xml:space="preserve"> developed by the TxSSC</w:t>
            </w:r>
            <w:r w:rsidR="00B13ED2">
              <w:t xml:space="preserve"> in collaboration with HHSC</w:t>
            </w:r>
            <w:r>
              <w:t xml:space="preserve">; </w:t>
            </w:r>
          </w:p>
          <w:p w14:paraId="01D807BE" w14:textId="51A041DD" w:rsidR="00DD4CCD" w:rsidRDefault="00CD7CB1" w:rsidP="00841EA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conduct safety and security audits </w:t>
            </w:r>
            <w:r w:rsidRPr="00DD4CCD">
              <w:t xml:space="preserve">following the procedures </w:t>
            </w:r>
            <w:r w:rsidR="00026A69">
              <w:t>developed</w:t>
            </w:r>
            <w:r w:rsidRPr="00DD4CCD">
              <w:t xml:space="preserve"> by the </w:t>
            </w:r>
            <w:r>
              <w:t>TxSSC</w:t>
            </w:r>
            <w:r w:rsidR="00B13ED2">
              <w:t xml:space="preserve"> in collaboration with HHSC</w:t>
            </w:r>
            <w:r>
              <w:t>;</w:t>
            </w:r>
            <w:r w:rsidR="00026A69">
              <w:t xml:space="preserve"> </w:t>
            </w:r>
            <w:r>
              <w:t>and</w:t>
            </w:r>
          </w:p>
          <w:p w14:paraId="3E2AEA1D" w14:textId="6D1AE166" w:rsidR="00A73320" w:rsidRDefault="00CD7CB1" w:rsidP="00841EA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report the </w:t>
            </w:r>
            <w:r w:rsidRPr="00A73320">
              <w:t>audit result</w:t>
            </w:r>
            <w:r>
              <w:t>s</w:t>
            </w:r>
            <w:r w:rsidRPr="00A73320">
              <w:t xml:space="preserve"> </w:t>
            </w:r>
            <w:r>
              <w:t xml:space="preserve">to the TxSSC in the manner </w:t>
            </w:r>
            <w:r w:rsidRPr="00A73320">
              <w:t>required</w:t>
            </w:r>
            <w:r w:rsidR="00026A69">
              <w:t xml:space="preserve"> </w:t>
            </w:r>
            <w:r w:rsidR="00026A69" w:rsidRPr="00026A69">
              <w:t xml:space="preserve">by the </w:t>
            </w:r>
            <w:r>
              <w:t>audit procedures</w:t>
            </w:r>
            <w:r w:rsidR="00026A69">
              <w:t>.</w:t>
            </w:r>
          </w:p>
          <w:p w14:paraId="67E3547E" w14:textId="77777777" w:rsidR="008423E4" w:rsidRPr="00835628" w:rsidRDefault="008423E4" w:rsidP="00841EA6">
            <w:pPr>
              <w:rPr>
                <w:b/>
              </w:rPr>
            </w:pPr>
          </w:p>
        </w:tc>
      </w:tr>
      <w:tr w:rsidR="00074DFC" w14:paraId="72EB3320" w14:textId="77777777" w:rsidTr="00345119">
        <w:tc>
          <w:tcPr>
            <w:tcW w:w="9576" w:type="dxa"/>
          </w:tcPr>
          <w:p w14:paraId="4132B613" w14:textId="77777777" w:rsidR="008423E4" w:rsidRPr="00A8133F" w:rsidRDefault="00CD7CB1" w:rsidP="00841E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7FC653" w14:textId="77777777" w:rsidR="008423E4" w:rsidRPr="0045391E" w:rsidRDefault="008423E4" w:rsidP="00841EA6">
            <w:pPr>
              <w:rPr>
                <w:sz w:val="20"/>
                <w:szCs w:val="20"/>
              </w:rPr>
            </w:pPr>
          </w:p>
          <w:p w14:paraId="2DE84CAC" w14:textId="39D1FF74" w:rsidR="008423E4" w:rsidRPr="003624F2" w:rsidRDefault="00CD7CB1" w:rsidP="00841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3D23940" w14:textId="77777777" w:rsidR="008423E4" w:rsidRPr="00233FDB" w:rsidRDefault="008423E4" w:rsidP="00841EA6">
            <w:pPr>
              <w:rPr>
                <w:b/>
              </w:rPr>
            </w:pPr>
          </w:p>
        </w:tc>
      </w:tr>
    </w:tbl>
    <w:p w14:paraId="44153B86" w14:textId="77777777" w:rsidR="008423E4" w:rsidRPr="00BE0E75" w:rsidRDefault="008423E4" w:rsidP="00841EA6">
      <w:pPr>
        <w:jc w:val="both"/>
        <w:rPr>
          <w:rFonts w:ascii="Arial" w:hAnsi="Arial"/>
          <w:sz w:val="16"/>
          <w:szCs w:val="16"/>
        </w:rPr>
      </w:pPr>
    </w:p>
    <w:p w14:paraId="7D9968E8" w14:textId="77777777" w:rsidR="004108C3" w:rsidRPr="008423E4" w:rsidRDefault="004108C3" w:rsidP="00841EA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2293" w14:textId="77777777" w:rsidR="00000000" w:rsidRDefault="00CD7CB1">
      <w:r>
        <w:separator/>
      </w:r>
    </w:p>
  </w:endnote>
  <w:endnote w:type="continuationSeparator" w:id="0">
    <w:p w14:paraId="433F1204" w14:textId="77777777" w:rsidR="00000000" w:rsidRDefault="00C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7C4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4DFC" w14:paraId="3445960F" w14:textId="77777777" w:rsidTr="009C1E9A">
      <w:trPr>
        <w:cantSplit/>
      </w:trPr>
      <w:tc>
        <w:tcPr>
          <w:tcW w:w="0" w:type="pct"/>
        </w:tcPr>
        <w:p w14:paraId="1B4B48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39E6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3C13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D598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364D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4DFC" w14:paraId="4DDC8F33" w14:textId="77777777" w:rsidTr="009C1E9A">
      <w:trPr>
        <w:cantSplit/>
      </w:trPr>
      <w:tc>
        <w:tcPr>
          <w:tcW w:w="0" w:type="pct"/>
        </w:tcPr>
        <w:p w14:paraId="6C9A85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F8E297" w14:textId="50528657" w:rsidR="00EC379B" w:rsidRPr="009C1E9A" w:rsidRDefault="00CD7CB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28605-D</w:t>
          </w:r>
        </w:p>
      </w:tc>
      <w:tc>
        <w:tcPr>
          <w:tcW w:w="2453" w:type="pct"/>
        </w:tcPr>
        <w:p w14:paraId="2D19B25E" w14:textId="47D37E9D" w:rsidR="00EC379B" w:rsidRDefault="00CD7CB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E72E7">
            <w:t>23.124.1540</w:t>
          </w:r>
          <w:r>
            <w:fldChar w:fldCharType="end"/>
          </w:r>
        </w:p>
      </w:tc>
    </w:tr>
    <w:tr w:rsidR="00074DFC" w14:paraId="211CADB4" w14:textId="77777777" w:rsidTr="009C1E9A">
      <w:trPr>
        <w:cantSplit/>
      </w:trPr>
      <w:tc>
        <w:tcPr>
          <w:tcW w:w="0" w:type="pct"/>
        </w:tcPr>
        <w:p w14:paraId="216E633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E0AD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63C85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09AC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4DFC" w14:paraId="7F68D1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408BB5" w14:textId="77777777" w:rsidR="00EC379B" w:rsidRDefault="00CD7CB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3C9D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3FB8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4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BD83" w14:textId="77777777" w:rsidR="00000000" w:rsidRDefault="00CD7CB1">
      <w:r>
        <w:separator/>
      </w:r>
    </w:p>
  </w:footnote>
  <w:footnote w:type="continuationSeparator" w:id="0">
    <w:p w14:paraId="3D45CCA0" w14:textId="77777777" w:rsidR="00000000" w:rsidRDefault="00CD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6A8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C1E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0E0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1D78"/>
    <w:multiLevelType w:val="hybridMultilevel"/>
    <w:tmpl w:val="6A3AAD80"/>
    <w:lvl w:ilvl="0" w:tplc="F35E1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CA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E2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EA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6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8E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A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24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6C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3747"/>
    <w:multiLevelType w:val="hybridMultilevel"/>
    <w:tmpl w:val="BECE6F26"/>
    <w:lvl w:ilvl="0" w:tplc="7AA22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E1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07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6C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68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46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9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03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1319">
    <w:abstractNumId w:val="0"/>
  </w:num>
  <w:num w:numId="2" w16cid:durableId="41459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F2C"/>
    <w:rsid w:val="00026A69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DFC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D43"/>
    <w:rsid w:val="00156AB2"/>
    <w:rsid w:val="00156B48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BE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8F6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132"/>
    <w:rsid w:val="00313DFE"/>
    <w:rsid w:val="003143B2"/>
    <w:rsid w:val="00314821"/>
    <w:rsid w:val="0031483F"/>
    <w:rsid w:val="0031741B"/>
    <w:rsid w:val="00321337"/>
    <w:rsid w:val="00321F2F"/>
    <w:rsid w:val="003237F6"/>
    <w:rsid w:val="00323C50"/>
    <w:rsid w:val="00324077"/>
    <w:rsid w:val="0032453B"/>
    <w:rsid w:val="00324868"/>
    <w:rsid w:val="003305F5"/>
    <w:rsid w:val="00331F93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8BA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2E7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91E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E79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1B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F2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77D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88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8F4"/>
    <w:rsid w:val="007013E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EA6"/>
    <w:rsid w:val="008423E4"/>
    <w:rsid w:val="00842900"/>
    <w:rsid w:val="00850CF0"/>
    <w:rsid w:val="0085171F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062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0FB"/>
    <w:rsid w:val="009329FB"/>
    <w:rsid w:val="00932C77"/>
    <w:rsid w:val="0093417F"/>
    <w:rsid w:val="00934AC2"/>
    <w:rsid w:val="009375BB"/>
    <w:rsid w:val="009418E9"/>
    <w:rsid w:val="00946044"/>
    <w:rsid w:val="009463F5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E1D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760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320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BFC"/>
    <w:rsid w:val="00AD4497"/>
    <w:rsid w:val="00AD649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ED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E9F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6E3"/>
    <w:rsid w:val="00B95BC8"/>
    <w:rsid w:val="00B96E87"/>
    <w:rsid w:val="00BA146A"/>
    <w:rsid w:val="00BA32EE"/>
    <w:rsid w:val="00BA4AD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C3F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E69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61"/>
    <w:rsid w:val="00CC7B9E"/>
    <w:rsid w:val="00CD06CA"/>
    <w:rsid w:val="00CD076A"/>
    <w:rsid w:val="00CD180C"/>
    <w:rsid w:val="00CD37DA"/>
    <w:rsid w:val="00CD4F2C"/>
    <w:rsid w:val="00CD731C"/>
    <w:rsid w:val="00CD7CB1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0E5"/>
    <w:rsid w:val="00D83072"/>
    <w:rsid w:val="00D83ABC"/>
    <w:rsid w:val="00D84870"/>
    <w:rsid w:val="00D91B92"/>
    <w:rsid w:val="00D926B3"/>
    <w:rsid w:val="00D92F63"/>
    <w:rsid w:val="00D93CD9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CCD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C12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37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889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961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EF7FE8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E67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2F8FAE-19AB-4DAF-A300-EAE3904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26E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6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E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E9F"/>
    <w:rPr>
      <w:b/>
      <w:bCs/>
    </w:rPr>
  </w:style>
  <w:style w:type="paragraph" w:styleId="Revision">
    <w:name w:val="Revision"/>
    <w:hidden/>
    <w:uiPriority w:val="99"/>
    <w:semiHidden/>
    <w:rsid w:val="00DD4C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2399</Characters>
  <Application>Microsoft Office Word</Application>
  <DocSecurity>4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HB05284 (Committee Report (Unamended))</vt:lpstr>
    </vt:vector>
  </TitlesOfParts>
  <Company>State of Texas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28605</dc:subject>
  <dc:creator>State of Texas</dc:creator>
  <dc:description>HB 5284 by Kitzman-(H)Youth Health &amp; Safety, Select</dc:description>
  <cp:lastModifiedBy>Stacey Nicchio</cp:lastModifiedBy>
  <cp:revision>2</cp:revision>
  <cp:lastPrinted>2003-11-26T17:21:00Z</cp:lastPrinted>
  <dcterms:created xsi:type="dcterms:W3CDTF">2023-05-05T01:07:00Z</dcterms:created>
  <dcterms:modified xsi:type="dcterms:W3CDTF">2023-05-05T01:07:00Z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23.124.1540</vt:lpwstr>
  </property>
</Properties>
</file>