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0376D" w14:paraId="03D0A28A" w14:textId="77777777" w:rsidTr="00345119">
        <w:tc>
          <w:tcPr>
            <w:tcW w:w="9576" w:type="dxa"/>
            <w:noWrap/>
          </w:tcPr>
          <w:p w14:paraId="3AA9167E" w14:textId="77777777" w:rsidR="008423E4" w:rsidRPr="0022177D" w:rsidRDefault="00F74FB1" w:rsidP="0058378B">
            <w:pPr>
              <w:pStyle w:val="Heading1"/>
            </w:pPr>
            <w:r w:rsidRPr="00631897">
              <w:t>BILL ANALYSIS</w:t>
            </w:r>
          </w:p>
        </w:tc>
      </w:tr>
    </w:tbl>
    <w:p w14:paraId="75F83589" w14:textId="77777777" w:rsidR="008423E4" w:rsidRPr="0022177D" w:rsidRDefault="008423E4" w:rsidP="0058378B">
      <w:pPr>
        <w:jc w:val="center"/>
      </w:pPr>
    </w:p>
    <w:p w14:paraId="4E2ACBD2" w14:textId="77777777" w:rsidR="008423E4" w:rsidRPr="00B31F0E" w:rsidRDefault="008423E4" w:rsidP="0058378B"/>
    <w:p w14:paraId="5ADA054A" w14:textId="77777777" w:rsidR="008423E4" w:rsidRPr="00742794" w:rsidRDefault="008423E4" w:rsidP="0058378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0376D" w14:paraId="06DB0210" w14:textId="77777777" w:rsidTr="00345119">
        <w:tc>
          <w:tcPr>
            <w:tcW w:w="9576" w:type="dxa"/>
          </w:tcPr>
          <w:p w14:paraId="7909C517" w14:textId="5588CF3F" w:rsidR="008423E4" w:rsidRPr="00861995" w:rsidRDefault="00F74FB1" w:rsidP="0058378B">
            <w:pPr>
              <w:jc w:val="right"/>
            </w:pPr>
            <w:r>
              <w:t>C.S.H.B. 5303</w:t>
            </w:r>
          </w:p>
        </w:tc>
      </w:tr>
      <w:tr w:rsidR="0010376D" w14:paraId="3E9E8536" w14:textId="77777777" w:rsidTr="00345119">
        <w:tc>
          <w:tcPr>
            <w:tcW w:w="9576" w:type="dxa"/>
          </w:tcPr>
          <w:p w14:paraId="1AEAD949" w14:textId="20C02FF5" w:rsidR="008423E4" w:rsidRPr="00861995" w:rsidRDefault="00F74FB1" w:rsidP="0058378B">
            <w:pPr>
              <w:jc w:val="right"/>
            </w:pPr>
            <w:r>
              <w:t xml:space="preserve">By: </w:t>
            </w:r>
            <w:r w:rsidR="00D07E42">
              <w:t>Kuempel</w:t>
            </w:r>
          </w:p>
        </w:tc>
      </w:tr>
      <w:tr w:rsidR="0010376D" w14:paraId="77AC3C44" w14:textId="77777777" w:rsidTr="00345119">
        <w:tc>
          <w:tcPr>
            <w:tcW w:w="9576" w:type="dxa"/>
          </w:tcPr>
          <w:p w14:paraId="62692B3A" w14:textId="5F5695D7" w:rsidR="008423E4" w:rsidRPr="00861995" w:rsidRDefault="00F74FB1" w:rsidP="0058378B">
            <w:pPr>
              <w:jc w:val="right"/>
            </w:pPr>
            <w:r>
              <w:t>Natural Resources</w:t>
            </w:r>
          </w:p>
        </w:tc>
      </w:tr>
      <w:tr w:rsidR="0010376D" w14:paraId="422CD11A" w14:textId="77777777" w:rsidTr="00345119">
        <w:tc>
          <w:tcPr>
            <w:tcW w:w="9576" w:type="dxa"/>
          </w:tcPr>
          <w:p w14:paraId="2590E1A2" w14:textId="0147C31E" w:rsidR="008423E4" w:rsidRDefault="00F74FB1" w:rsidP="0058378B">
            <w:pPr>
              <w:jc w:val="right"/>
            </w:pPr>
            <w:r>
              <w:t>Committee Report (Substituted)</w:t>
            </w:r>
          </w:p>
        </w:tc>
      </w:tr>
    </w:tbl>
    <w:p w14:paraId="4C5EB6B3" w14:textId="77777777" w:rsidR="008423E4" w:rsidRDefault="008423E4" w:rsidP="0058378B">
      <w:pPr>
        <w:tabs>
          <w:tab w:val="right" w:pos="9360"/>
        </w:tabs>
      </w:pPr>
    </w:p>
    <w:p w14:paraId="6893CC37" w14:textId="77777777" w:rsidR="008423E4" w:rsidRDefault="008423E4" w:rsidP="0058378B"/>
    <w:p w14:paraId="090E35FF" w14:textId="77777777" w:rsidR="008423E4" w:rsidRDefault="008423E4" w:rsidP="0058378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0376D" w14:paraId="6D9AF6DA" w14:textId="77777777" w:rsidTr="0058378B">
        <w:tc>
          <w:tcPr>
            <w:tcW w:w="9360" w:type="dxa"/>
          </w:tcPr>
          <w:p w14:paraId="013A2D37" w14:textId="77777777" w:rsidR="008423E4" w:rsidRPr="00A8133F" w:rsidRDefault="00F74FB1" w:rsidP="0058378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FE54596" w14:textId="77777777" w:rsidR="008423E4" w:rsidRDefault="008423E4" w:rsidP="0058378B"/>
          <w:p w14:paraId="09AB6496" w14:textId="7767CE73" w:rsidR="008423E4" w:rsidRDefault="00F74FB1" w:rsidP="0058378B">
            <w:pPr>
              <w:pStyle w:val="Header"/>
              <w:jc w:val="both"/>
            </w:pPr>
            <w:r>
              <w:t xml:space="preserve">The </w:t>
            </w:r>
            <w:r w:rsidRPr="000F687C">
              <w:t>Springs Hill Water Supply Corporation</w:t>
            </w:r>
            <w:r>
              <w:t xml:space="preserve"> holds a certificate of convenience and necessity issued by the Public Utility Commission </w:t>
            </w:r>
            <w:r w:rsidRPr="000F687C">
              <w:t>of Texas</w:t>
            </w:r>
            <w:r>
              <w:t xml:space="preserve"> that authorizes the corporation to provide retail water service to its service area, which includes Guadalupe County and a small portion of Wilson County.</w:t>
            </w:r>
            <w:r w:rsidR="0080176F">
              <w:t xml:space="preserve"> </w:t>
            </w:r>
            <w:r>
              <w:t>Th</w:t>
            </w:r>
            <w:r>
              <w:t xml:space="preserve">e corporation's board of directors recently found that it was necessary and desirable for the corporation to convert to a special utility district. Multiple water supply corporations have </w:t>
            </w:r>
            <w:r w:rsidR="0080176F">
              <w:t xml:space="preserve">been </w:t>
            </w:r>
            <w:r>
              <w:t xml:space="preserve">converted to special utility districts pursuant to legislation </w:t>
            </w:r>
            <w:r>
              <w:t xml:space="preserve">enacted by the </w:t>
            </w:r>
            <w:r w:rsidR="0080176F">
              <w:t>l</w:t>
            </w:r>
            <w:r>
              <w:t>egislature.</w:t>
            </w:r>
            <w:r w:rsidR="0080176F">
              <w:t xml:space="preserve"> </w:t>
            </w:r>
            <w:r w:rsidR="00737A6F">
              <w:t>Converting to a special utility district would provide many benefits, including</w:t>
            </w:r>
            <w:r>
              <w:t xml:space="preserve"> the ability to sell low</w:t>
            </w:r>
            <w:r w:rsidR="005F039B">
              <w:t>-</w:t>
            </w:r>
            <w:r>
              <w:t xml:space="preserve">interest, tax-exempt bonds; </w:t>
            </w:r>
            <w:r w:rsidR="00737A6F">
              <w:t>eligibility for</w:t>
            </w:r>
            <w:r>
              <w:t xml:space="preserve"> more exemptions from sales taxes; participat</w:t>
            </w:r>
            <w:r w:rsidR="00737A6F">
              <w:t>ion</w:t>
            </w:r>
            <w:r>
              <w:t xml:space="preserve"> in cooperative purchasing progra</w:t>
            </w:r>
            <w:r>
              <w:t>ms; improve</w:t>
            </w:r>
            <w:r w:rsidR="00737A6F">
              <w:t>d</w:t>
            </w:r>
            <w:r>
              <w:t xml:space="preserve"> ability to enter</w:t>
            </w:r>
            <w:r w:rsidR="0080176F">
              <w:t xml:space="preserve"> into</w:t>
            </w:r>
            <w:r>
              <w:t xml:space="preserve"> water contracts; and </w:t>
            </w:r>
            <w:r w:rsidR="00965450">
              <w:t xml:space="preserve">the ability </w:t>
            </w:r>
            <w:r w:rsidR="00737A6F">
              <w:t xml:space="preserve">to </w:t>
            </w:r>
            <w:r>
              <w:t xml:space="preserve">attract a more competitive workforce. These benefits would allow </w:t>
            </w:r>
            <w:r w:rsidR="00737A6F">
              <w:t>for the</w:t>
            </w:r>
            <w:r>
              <w:t xml:space="preserve"> generat</w:t>
            </w:r>
            <w:r w:rsidR="00737A6F">
              <w:t>ion of</w:t>
            </w:r>
            <w:r>
              <w:t xml:space="preserve"> additional revenue and </w:t>
            </w:r>
            <w:r w:rsidR="00737A6F">
              <w:t xml:space="preserve">the </w:t>
            </w:r>
            <w:r>
              <w:t>provi</w:t>
            </w:r>
            <w:r w:rsidR="00737A6F">
              <w:t>sion of</w:t>
            </w:r>
            <w:r>
              <w:t xml:space="preserve"> better service without raising </w:t>
            </w:r>
            <w:r w:rsidR="00737A6F">
              <w:t>customer</w:t>
            </w:r>
            <w:r>
              <w:t xml:space="preserve"> rates.</w:t>
            </w:r>
            <w:r w:rsidR="00737A6F">
              <w:t xml:space="preserve"> C.S.H.B. 5303 seeks to address this issue by providing for the creation of the </w:t>
            </w:r>
            <w:r w:rsidR="00737A6F" w:rsidRPr="00737A6F">
              <w:t>Springs Hill Special Utility District</w:t>
            </w:r>
            <w:r w:rsidR="00737A6F">
              <w:t>.</w:t>
            </w:r>
          </w:p>
          <w:p w14:paraId="0F3E8C59" w14:textId="77777777" w:rsidR="008423E4" w:rsidRPr="00E26B13" w:rsidRDefault="008423E4" w:rsidP="0058378B">
            <w:pPr>
              <w:rPr>
                <w:b/>
              </w:rPr>
            </w:pPr>
          </w:p>
        </w:tc>
      </w:tr>
      <w:tr w:rsidR="0010376D" w14:paraId="5F05C0D9" w14:textId="77777777" w:rsidTr="0058378B">
        <w:tc>
          <w:tcPr>
            <w:tcW w:w="9360" w:type="dxa"/>
          </w:tcPr>
          <w:p w14:paraId="6CFCFA72" w14:textId="77777777" w:rsidR="0017725B" w:rsidRDefault="00F74FB1" w:rsidP="005837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020E991" w14:textId="77777777" w:rsidR="0017725B" w:rsidRDefault="0017725B" w:rsidP="0058378B">
            <w:pPr>
              <w:rPr>
                <w:b/>
                <w:u w:val="single"/>
              </w:rPr>
            </w:pPr>
          </w:p>
          <w:p w14:paraId="464BE526" w14:textId="68A2AD82" w:rsidR="00327DE8" w:rsidRPr="00327DE8" w:rsidRDefault="00F74FB1" w:rsidP="0058378B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12B5AEF6" w14:textId="77777777" w:rsidR="0017725B" w:rsidRPr="0017725B" w:rsidRDefault="0017725B" w:rsidP="0058378B">
            <w:pPr>
              <w:rPr>
                <w:b/>
                <w:u w:val="single"/>
              </w:rPr>
            </w:pPr>
          </w:p>
        </w:tc>
      </w:tr>
      <w:tr w:rsidR="0010376D" w14:paraId="60DD2C59" w14:textId="77777777" w:rsidTr="0058378B">
        <w:tc>
          <w:tcPr>
            <w:tcW w:w="9360" w:type="dxa"/>
          </w:tcPr>
          <w:p w14:paraId="7AC4287C" w14:textId="77777777" w:rsidR="008423E4" w:rsidRPr="00A8133F" w:rsidRDefault="00F74FB1" w:rsidP="0058378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520D37" w14:textId="77777777" w:rsidR="008423E4" w:rsidRDefault="008423E4" w:rsidP="0058378B"/>
          <w:p w14:paraId="7BFFBBA5" w14:textId="1CCE92D1" w:rsidR="00327DE8" w:rsidRDefault="00F74FB1" w:rsidP="00583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7BCC1F64" w14:textId="77777777" w:rsidR="008423E4" w:rsidRPr="00E21FDC" w:rsidRDefault="008423E4" w:rsidP="0058378B">
            <w:pPr>
              <w:rPr>
                <w:b/>
              </w:rPr>
            </w:pPr>
          </w:p>
        </w:tc>
      </w:tr>
      <w:tr w:rsidR="0010376D" w14:paraId="5BA5953B" w14:textId="77777777" w:rsidTr="0058378B">
        <w:tc>
          <w:tcPr>
            <w:tcW w:w="9360" w:type="dxa"/>
          </w:tcPr>
          <w:p w14:paraId="1FFB3743" w14:textId="77777777" w:rsidR="008423E4" w:rsidRPr="00A8133F" w:rsidRDefault="00F74FB1" w:rsidP="0058378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83D285" w14:textId="77777777" w:rsidR="008423E4" w:rsidRDefault="008423E4" w:rsidP="0058378B"/>
          <w:p w14:paraId="29E7B7A0" w14:textId="0055A4DA" w:rsidR="000D7431" w:rsidRDefault="00F74FB1" w:rsidP="0058378B">
            <w:pPr>
              <w:pStyle w:val="Header"/>
              <w:jc w:val="both"/>
            </w:pPr>
            <w:r>
              <w:t>C.S.</w:t>
            </w:r>
            <w:r w:rsidR="00A00E47">
              <w:t xml:space="preserve">H.B. 5303 amends the </w:t>
            </w:r>
            <w:r w:rsidR="00A00E47" w:rsidRPr="00A00E47">
              <w:t>Special District Local Laws Code</w:t>
            </w:r>
            <w:r w:rsidR="00A00E47">
              <w:t xml:space="preserve"> to create the </w:t>
            </w:r>
            <w:r w:rsidR="00A00E47" w:rsidRPr="00A00E47">
              <w:t>Springs Hill Special Utility District</w:t>
            </w:r>
            <w:r w:rsidR="00A00E47">
              <w:t xml:space="preserve"> </w:t>
            </w:r>
            <w:r w:rsidR="00A00E47" w:rsidRPr="00A00E47">
              <w:t>in Guadalupe and Wilson Counties</w:t>
            </w:r>
            <w:r w:rsidR="00A00E47">
              <w:t xml:space="preserve">. </w:t>
            </w:r>
          </w:p>
          <w:p w14:paraId="313C89D6" w14:textId="77777777" w:rsidR="000D7431" w:rsidRDefault="000D7431" w:rsidP="0058378B">
            <w:pPr>
              <w:pStyle w:val="Header"/>
              <w:jc w:val="both"/>
            </w:pPr>
          </w:p>
          <w:p w14:paraId="34902CD1" w14:textId="4BA768D8" w:rsidR="00A00E47" w:rsidRDefault="00F74FB1" w:rsidP="0058378B">
            <w:pPr>
              <w:pStyle w:val="Header"/>
              <w:jc w:val="both"/>
            </w:pPr>
            <w:r>
              <w:t>C.S.</w:t>
            </w:r>
            <w:r w:rsidR="000D7431">
              <w:t>H.B. 5303</w:t>
            </w:r>
            <w:r>
              <w:t>, i</w:t>
            </w:r>
            <w:r w:rsidRPr="00A00E47">
              <w:t>f the</w:t>
            </w:r>
            <w:r>
              <w:t xml:space="preserve"> district's</w:t>
            </w:r>
            <w:r w:rsidRPr="00A00E47">
              <w:t xml:space="preserve"> creation is not confirmed at a confirmation and initial directors' election held before September 1, 2026</w:t>
            </w:r>
            <w:r>
              <w:t xml:space="preserve">, sets the bill's provisions relating to the district to expire </w:t>
            </w:r>
            <w:r w:rsidRPr="00A00E47">
              <w:t>September 1, 2027</w:t>
            </w:r>
            <w:r>
              <w:t>, and dissolves the distr</w:t>
            </w:r>
            <w:r>
              <w:t>ict on September 1, 2026, except that the district is required to do the following:</w:t>
            </w:r>
          </w:p>
          <w:p w14:paraId="0E66A87F" w14:textId="3CA683CB" w:rsidR="00A00E47" w:rsidRDefault="00F74FB1" w:rsidP="0058378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pay any debts incurred;</w:t>
            </w:r>
          </w:p>
          <w:p w14:paraId="1C570C7A" w14:textId="78268F54" w:rsidR="00A00E47" w:rsidRDefault="00F74FB1" w:rsidP="0058378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transfer to Guadalupe or Wilson County, as appropriate, any</w:t>
            </w:r>
            <w:r w:rsidR="00AB4B84">
              <w:t xml:space="preserve"> district</w:t>
            </w:r>
            <w:r>
              <w:t xml:space="preserve"> assets that remain after the payment of debts; and</w:t>
            </w:r>
          </w:p>
          <w:p w14:paraId="732FEF3C" w14:textId="7A55849F" w:rsidR="009C36CD" w:rsidRDefault="00F74FB1" w:rsidP="0058378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maintain the </w:t>
            </w:r>
            <w:r w:rsidR="00AB4B84">
              <w:t xml:space="preserve">district's </w:t>
            </w:r>
            <w:r>
              <w:t>orga</w:t>
            </w:r>
            <w:r>
              <w:t>nization until all debts are paid and remaining assets are transferred</w:t>
            </w:r>
            <w:r w:rsidR="00AB4B84">
              <w:t>.</w:t>
            </w:r>
          </w:p>
          <w:p w14:paraId="33F3C6E9" w14:textId="03620D93" w:rsidR="00AB4B84" w:rsidRDefault="00AB4B84" w:rsidP="00583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C61FD9B" w14:textId="204CB6C2" w:rsidR="00296130" w:rsidRDefault="00F74FB1" w:rsidP="0058378B">
            <w:pPr>
              <w:pStyle w:val="Header"/>
              <w:jc w:val="both"/>
            </w:pPr>
            <w:r>
              <w:t>C.S.</w:t>
            </w:r>
            <w:r w:rsidR="00DF38F3">
              <w:t xml:space="preserve">H.B. 5303 </w:t>
            </w:r>
            <w:r w:rsidR="00B9015D">
              <w:t>sets out temporary provision</w:t>
            </w:r>
            <w:r w:rsidR="00D67332">
              <w:t xml:space="preserve">s set to </w:t>
            </w:r>
            <w:r w:rsidR="00D67332" w:rsidRPr="00D67332">
              <w:t>expire September 1, 2027</w:t>
            </w:r>
            <w:r w:rsidR="00D67332">
              <w:t xml:space="preserve">, that, among other </w:t>
            </w:r>
            <w:r w:rsidR="005F039B">
              <w:t>provisions</w:t>
            </w:r>
            <w:r w:rsidR="00D67332">
              <w:t xml:space="preserve">, </w:t>
            </w:r>
            <w:r w:rsidR="00DF38F3">
              <w:t xml:space="preserve">requires the </w:t>
            </w:r>
            <w:r w:rsidR="00DF38F3" w:rsidRPr="00DF38F3">
              <w:t>Springs Hill Water Supply Corporation</w:t>
            </w:r>
            <w:r w:rsidR="00DF38F3">
              <w:t>, if the</w:t>
            </w:r>
            <w:r>
              <w:t xml:space="preserve"> district's</w:t>
            </w:r>
            <w:r w:rsidR="00DF38F3">
              <w:t xml:space="preserve"> creation is confirmed, to transfer the corporation's assets, debts, and contractual rights and obligations to the district. The bill</w:t>
            </w:r>
            <w:r w:rsidR="005F039B">
              <w:t xml:space="preserve"> </w:t>
            </w:r>
            <w:r w:rsidR="00DF38F3">
              <w:t>establishes that</w:t>
            </w:r>
            <w:r w:rsidR="00402524" w:rsidRPr="00430110">
              <w:t xml:space="preserve">, following the transfer, </w:t>
            </w:r>
            <w:r w:rsidR="00DF38F3">
              <w:t>a certain c</w:t>
            </w:r>
            <w:r w:rsidR="00DF38F3" w:rsidRPr="00DF38F3">
              <w:t xml:space="preserve">ertificate of </w:t>
            </w:r>
            <w:r w:rsidR="00DF38F3">
              <w:t>c</w:t>
            </w:r>
            <w:r w:rsidR="00DF38F3" w:rsidRPr="00DF38F3">
              <w:t xml:space="preserve">onvenience and </w:t>
            </w:r>
            <w:r w:rsidR="00DF38F3">
              <w:t>n</w:t>
            </w:r>
            <w:r w:rsidR="00DF38F3" w:rsidRPr="00DF38F3">
              <w:t>ecessity is considered to be held by the district</w:t>
            </w:r>
            <w:r w:rsidR="00430110">
              <w:t xml:space="preserve"> and requires the corporation's </w:t>
            </w:r>
            <w:r w:rsidR="00DF38F3">
              <w:t xml:space="preserve">board of directors </w:t>
            </w:r>
            <w:r w:rsidR="00430110">
              <w:t>to</w:t>
            </w:r>
            <w:r w:rsidR="00DF38F3">
              <w:t xml:space="preserve"> commence dissolution proceedings of the corporation</w:t>
            </w:r>
            <w:r w:rsidR="00430110">
              <w:t xml:space="preserve"> </w:t>
            </w:r>
            <w:r w:rsidR="00DF38F3">
              <w:t>and</w:t>
            </w:r>
            <w:r w:rsidR="00430110">
              <w:t xml:space="preserve"> to</w:t>
            </w:r>
            <w:r w:rsidR="00DF38F3">
              <w:t xml:space="preserve"> notify</w:t>
            </w:r>
            <w:r w:rsidR="00430110">
              <w:t xml:space="preserve"> </w:t>
            </w:r>
            <w:r w:rsidR="00DF38F3">
              <w:t>the Texas Commission on Environmental Quality</w:t>
            </w:r>
            <w:r w:rsidR="006F5A7E">
              <w:t xml:space="preserve"> </w:t>
            </w:r>
            <w:r w:rsidR="006F5A7E" w:rsidRPr="006F5A7E">
              <w:t>(TCEQ)</w:t>
            </w:r>
            <w:r w:rsidR="00DF38F3">
              <w:t xml:space="preserve"> of the</w:t>
            </w:r>
            <w:r w:rsidR="00430110">
              <w:t xml:space="preserve"> corporation's</w:t>
            </w:r>
            <w:r w:rsidR="00DF38F3">
              <w:t xml:space="preserve"> dissolution and</w:t>
            </w:r>
            <w:r w:rsidR="00430110">
              <w:t xml:space="preserve"> </w:t>
            </w:r>
            <w:r w:rsidR="00DF38F3">
              <w:t xml:space="preserve">the Public Utility Commission of Texas </w:t>
            </w:r>
            <w:r w:rsidRPr="00296130">
              <w:t xml:space="preserve">(PUC) </w:t>
            </w:r>
            <w:r w:rsidR="00DF38F3">
              <w:t>of the</w:t>
            </w:r>
            <w:r w:rsidR="00430110">
              <w:t xml:space="preserve"> certificate's</w:t>
            </w:r>
            <w:r w:rsidR="00DF38F3">
              <w:t xml:space="preserve"> transfer</w:t>
            </w:r>
            <w:r w:rsidR="00327DE8">
              <w:t xml:space="preserve"> to the district</w:t>
            </w:r>
            <w:r w:rsidR="00DF38F3">
              <w:t>.</w:t>
            </w:r>
            <w:r w:rsidR="00636304">
              <w:t xml:space="preserve"> </w:t>
            </w:r>
            <w:r>
              <w:t>The bill requires the PUC, o</w:t>
            </w:r>
            <w:r w:rsidRPr="00296130">
              <w:t xml:space="preserve">n receipt of </w:t>
            </w:r>
            <w:r w:rsidR="00636304">
              <w:t xml:space="preserve">the </w:t>
            </w:r>
            <w:r w:rsidRPr="00296130">
              <w:t xml:space="preserve">notice, </w:t>
            </w:r>
            <w:r w:rsidR="00636304">
              <w:t>to</w:t>
            </w:r>
            <w:r w:rsidRPr="00296130">
              <w:t xml:space="preserve"> note in its records that</w:t>
            </w:r>
            <w:r w:rsidR="00636304">
              <w:t xml:space="preserve"> the</w:t>
            </w:r>
            <w:r w:rsidRPr="00296130">
              <w:t xml:space="preserve"> </w:t>
            </w:r>
            <w:r w:rsidR="00636304">
              <w:t>c</w:t>
            </w:r>
            <w:r w:rsidRPr="00296130">
              <w:t>ertificate is held by the district and reissue the certificate in the</w:t>
            </w:r>
            <w:r w:rsidR="00636304">
              <w:t xml:space="preserve"> district's</w:t>
            </w:r>
            <w:r w:rsidRPr="00296130">
              <w:t xml:space="preserve"> name without further </w:t>
            </w:r>
            <w:r w:rsidRPr="00296130">
              <w:t xml:space="preserve">application, notice, or hearing. </w:t>
            </w:r>
            <w:r w:rsidR="00636304">
              <w:t>The bill establishes that a</w:t>
            </w:r>
            <w:r w:rsidRPr="00296130">
              <w:t xml:space="preserve"> person, party, or entity does not have any right of protest, objection, or administrative review of the transfer</w:t>
            </w:r>
            <w:r w:rsidR="00636304">
              <w:t xml:space="preserve"> under these provisions of the bill</w:t>
            </w:r>
            <w:r w:rsidRPr="00296130">
              <w:t>.</w:t>
            </w:r>
            <w:r w:rsidR="000D7431">
              <w:t xml:space="preserve">  </w:t>
            </w:r>
          </w:p>
          <w:p w14:paraId="4B5313C1" w14:textId="636C77B2" w:rsidR="00AB4B84" w:rsidRDefault="00AB4B84" w:rsidP="00583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C757577" w14:textId="240AABA4" w:rsidR="00D67332" w:rsidRDefault="00F74FB1" w:rsidP="0058378B">
            <w:pPr>
              <w:pStyle w:val="Header"/>
              <w:jc w:val="both"/>
            </w:pPr>
            <w:r>
              <w:t>C.S.H.B. 5303 provides for a temporary boar</w:t>
            </w:r>
            <w:r>
              <w:t xml:space="preserve">d of directors of the district composed of </w:t>
            </w:r>
            <w:r w:rsidR="00A26748">
              <w:t>the following persons</w:t>
            </w:r>
            <w:r>
              <w:t>:</w:t>
            </w:r>
          </w:p>
          <w:p w14:paraId="6953C78D" w14:textId="0022F70F" w:rsidR="00D67332" w:rsidRDefault="00F74FB1" w:rsidP="0058378B">
            <w:pPr>
              <w:pStyle w:val="Header"/>
              <w:numPr>
                <w:ilvl w:val="0"/>
                <w:numId w:val="3"/>
              </w:numPr>
              <w:jc w:val="both"/>
            </w:pPr>
            <w:r>
              <w:t>James Martin;</w:t>
            </w:r>
          </w:p>
          <w:p w14:paraId="0B01DB75" w14:textId="3C8672A7" w:rsidR="00D67332" w:rsidRDefault="00F74FB1" w:rsidP="0058378B">
            <w:pPr>
              <w:pStyle w:val="Header"/>
              <w:numPr>
                <w:ilvl w:val="0"/>
                <w:numId w:val="3"/>
              </w:numPr>
              <w:jc w:val="both"/>
            </w:pPr>
            <w:r>
              <w:t>Irene Moreno-Ybarra;</w:t>
            </w:r>
          </w:p>
          <w:p w14:paraId="5A83EBCF" w14:textId="0CE9383A" w:rsidR="00D67332" w:rsidRDefault="00F74FB1" w:rsidP="0058378B">
            <w:pPr>
              <w:pStyle w:val="Header"/>
              <w:numPr>
                <w:ilvl w:val="0"/>
                <w:numId w:val="3"/>
              </w:numPr>
              <w:jc w:val="both"/>
            </w:pPr>
            <w:r>
              <w:t>Bernard Mueller;</w:t>
            </w:r>
          </w:p>
          <w:p w14:paraId="4CC28269" w14:textId="6A1ECE74" w:rsidR="00D67332" w:rsidRDefault="00F74FB1" w:rsidP="0058378B">
            <w:pPr>
              <w:pStyle w:val="Header"/>
              <w:numPr>
                <w:ilvl w:val="0"/>
                <w:numId w:val="3"/>
              </w:numPr>
              <w:jc w:val="both"/>
            </w:pPr>
            <w:r>
              <w:t>Deborah Magin;</w:t>
            </w:r>
          </w:p>
          <w:p w14:paraId="0FB264BB" w14:textId="3AE3199F" w:rsidR="00D67332" w:rsidRDefault="00F74FB1" w:rsidP="0058378B">
            <w:pPr>
              <w:pStyle w:val="Header"/>
              <w:numPr>
                <w:ilvl w:val="0"/>
                <w:numId w:val="3"/>
              </w:numPr>
              <w:jc w:val="both"/>
            </w:pPr>
            <w:r>
              <w:t>Keith Steffen; and</w:t>
            </w:r>
          </w:p>
          <w:p w14:paraId="5338D057" w14:textId="355ACEAA" w:rsidR="00D67332" w:rsidRDefault="00F74FB1" w:rsidP="0058378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Michael Andrews.</w:t>
            </w:r>
          </w:p>
          <w:p w14:paraId="42F59E83" w14:textId="77777777" w:rsidR="00D67332" w:rsidRDefault="00D67332" w:rsidP="00583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98806F0" w14:textId="523AC37F" w:rsidR="00096964" w:rsidRDefault="00F74FB1" w:rsidP="00583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B4B84">
              <w:t>H.B. 5303 provides for the district's territory</w:t>
            </w:r>
            <w:r>
              <w:t xml:space="preserve">, governance, and powers and </w:t>
            </w:r>
            <w:r>
              <w:t>duties.</w:t>
            </w:r>
            <w:r w:rsidR="006F5A7E">
              <w:t xml:space="preserve"> The bill authorizes the </w:t>
            </w:r>
            <w:r>
              <w:t xml:space="preserve">district </w:t>
            </w:r>
            <w:r w:rsidR="006F5A7E">
              <w:t xml:space="preserve">to </w:t>
            </w:r>
            <w:r>
              <w:t xml:space="preserve">charge </w:t>
            </w:r>
            <w:r w:rsidR="00A26748">
              <w:t>an initial</w:t>
            </w:r>
            <w:r>
              <w:t xml:space="preserve"> water service impact fee that is not greater than the </w:t>
            </w:r>
            <w:r w:rsidR="00A26748">
              <w:t>impact</w:t>
            </w:r>
            <w:r>
              <w:t xml:space="preserve"> fee charged by the corporation on </w:t>
            </w:r>
            <w:r w:rsidR="00A26748" w:rsidRPr="00A26748">
              <w:t>September 1, 2023</w:t>
            </w:r>
            <w:r>
              <w:t>, under the corporation's tariff.</w:t>
            </w:r>
            <w:r w:rsidR="006F5A7E">
              <w:t xml:space="preserve"> The bill exempts the district's </w:t>
            </w:r>
            <w:r w:rsidR="006F5A7E" w:rsidRPr="006F5A7E">
              <w:t>initial water service impact fee</w:t>
            </w:r>
            <w:r w:rsidR="006F5A7E">
              <w:t xml:space="preserve"> from certain statutory provisions relating to the </w:t>
            </w:r>
            <w:r w:rsidR="006F5A7E" w:rsidRPr="006F5A7E">
              <w:t xml:space="preserve">financing </w:t>
            </w:r>
            <w:r w:rsidR="006F5A7E">
              <w:t xml:space="preserve">of </w:t>
            </w:r>
            <w:r w:rsidR="006F5A7E" w:rsidRPr="006F5A7E">
              <w:t>capital improvements required by</w:t>
            </w:r>
            <w:r w:rsidR="006F5A7E">
              <w:t xml:space="preserve"> </w:t>
            </w:r>
            <w:r w:rsidR="006F5A7E" w:rsidRPr="006F5A7E">
              <w:t>new development</w:t>
            </w:r>
            <w:r w:rsidR="006F5A7E">
              <w:t xml:space="preserve"> </w:t>
            </w:r>
            <w:r w:rsidR="006D5D0F">
              <w:t>and</w:t>
            </w:r>
            <w:r w:rsidR="006F5A7E">
              <w:t xml:space="preserve"> authorizes the </w:t>
            </w:r>
            <w:r>
              <w:t xml:space="preserve">district </w:t>
            </w:r>
            <w:r w:rsidR="006F5A7E">
              <w:t>to</w:t>
            </w:r>
            <w:r>
              <w:t xml:space="preserve"> </w:t>
            </w:r>
            <w:r w:rsidR="00A26748">
              <w:t>amend</w:t>
            </w:r>
            <w:r>
              <w:t xml:space="preserve"> the fee </w:t>
            </w:r>
            <w:r w:rsidR="006D5D0F">
              <w:t xml:space="preserve">but </w:t>
            </w:r>
            <w:r>
              <w:t xml:space="preserve">only as provided by </w:t>
            </w:r>
            <w:r w:rsidR="006F5A7E">
              <w:t>those provisions</w:t>
            </w:r>
            <w:r>
              <w:t xml:space="preserve"> as approved by the </w:t>
            </w:r>
            <w:r w:rsidR="006F5A7E">
              <w:t>TCEQ</w:t>
            </w:r>
            <w:r>
              <w:t xml:space="preserve"> or as otherwise p</w:t>
            </w:r>
            <w:r>
              <w:t>rovided by law.</w:t>
            </w:r>
          </w:p>
          <w:p w14:paraId="227F070C" w14:textId="452B409D" w:rsidR="00096964" w:rsidRDefault="00096964" w:rsidP="0058378B">
            <w:pPr>
              <w:pStyle w:val="Header"/>
              <w:jc w:val="both"/>
            </w:pPr>
          </w:p>
          <w:p w14:paraId="7D657531" w14:textId="0BB43993" w:rsidR="00096964" w:rsidRDefault="00F74FB1" w:rsidP="0058378B">
            <w:pPr>
              <w:pStyle w:val="Header"/>
              <w:jc w:val="both"/>
            </w:pPr>
            <w:r>
              <w:t>C.S.</w:t>
            </w:r>
            <w:r w:rsidR="006D5D0F">
              <w:t xml:space="preserve">H.B. 5303 </w:t>
            </w:r>
            <w:r w:rsidR="00797AEF" w:rsidRPr="00797AEF">
              <w:t>expressly prohibits the district from exercising the power of eminent domain if the bill does not receive a two-thirds vote of all the members elected to each house.</w:t>
            </w:r>
          </w:p>
          <w:p w14:paraId="10F9D679" w14:textId="77777777" w:rsidR="008423E4" w:rsidRPr="00835628" w:rsidRDefault="008423E4" w:rsidP="0058378B">
            <w:pPr>
              <w:rPr>
                <w:b/>
              </w:rPr>
            </w:pPr>
          </w:p>
        </w:tc>
      </w:tr>
      <w:tr w:rsidR="0010376D" w14:paraId="6A39A669" w14:textId="77777777" w:rsidTr="0058378B">
        <w:tc>
          <w:tcPr>
            <w:tcW w:w="9360" w:type="dxa"/>
          </w:tcPr>
          <w:p w14:paraId="7A5AD7E4" w14:textId="77777777" w:rsidR="008423E4" w:rsidRPr="00A8133F" w:rsidRDefault="00F74FB1" w:rsidP="0058378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A192F68" w14:textId="77777777" w:rsidR="008423E4" w:rsidRDefault="008423E4" w:rsidP="0058378B"/>
          <w:p w14:paraId="033C59B7" w14:textId="1E97F3E5" w:rsidR="008423E4" w:rsidRPr="003624F2" w:rsidRDefault="00F74FB1" w:rsidP="00583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D4A660C" w14:textId="77777777" w:rsidR="008423E4" w:rsidRPr="00233FDB" w:rsidRDefault="008423E4" w:rsidP="0058378B">
            <w:pPr>
              <w:rPr>
                <w:b/>
              </w:rPr>
            </w:pPr>
          </w:p>
        </w:tc>
      </w:tr>
      <w:tr w:rsidR="0010376D" w14:paraId="21F716B6" w14:textId="77777777" w:rsidTr="0058378B">
        <w:tc>
          <w:tcPr>
            <w:tcW w:w="9360" w:type="dxa"/>
          </w:tcPr>
          <w:p w14:paraId="6EA0A8F5" w14:textId="77777777" w:rsidR="00D07E42" w:rsidRDefault="00F74FB1" w:rsidP="0058378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42BD227" w14:textId="77777777" w:rsidR="00705A4C" w:rsidRDefault="00705A4C" w:rsidP="0058378B">
            <w:pPr>
              <w:jc w:val="both"/>
            </w:pPr>
          </w:p>
          <w:p w14:paraId="55CF893C" w14:textId="363E6948" w:rsidR="00705A4C" w:rsidRDefault="00F74FB1" w:rsidP="0058378B">
            <w:pPr>
              <w:jc w:val="both"/>
            </w:pPr>
            <w:r>
              <w:t>While C.S.H.B. 5303 may differ from the introduced in minor or nonsubstantive ways, the following summarizes the substantial differences between the introduced and committee substitute versions of the bill.</w:t>
            </w:r>
          </w:p>
          <w:p w14:paraId="1359B55E" w14:textId="738F9DA7" w:rsidR="00705A4C" w:rsidRDefault="00705A4C" w:rsidP="0058378B">
            <w:pPr>
              <w:jc w:val="both"/>
            </w:pPr>
          </w:p>
          <w:p w14:paraId="67A00CF2" w14:textId="23C21BFF" w:rsidR="00705A4C" w:rsidRDefault="00F74FB1" w:rsidP="0058378B">
            <w:pPr>
              <w:jc w:val="both"/>
            </w:pPr>
            <w:r>
              <w:t xml:space="preserve">With regard to the district's </w:t>
            </w:r>
            <w:r w:rsidRPr="00705A4C">
              <w:t>temporary board of directors</w:t>
            </w:r>
            <w:r>
              <w:t xml:space="preserve">, the substitute replaces </w:t>
            </w:r>
            <w:r w:rsidRPr="00705A4C">
              <w:t>Steve Ramsey</w:t>
            </w:r>
            <w:r>
              <w:t xml:space="preserve"> in the introduced with </w:t>
            </w:r>
            <w:r w:rsidRPr="00705A4C">
              <w:t>Irene Moreno-Ybarra</w:t>
            </w:r>
            <w:r>
              <w:t xml:space="preserve"> and, whereas the introduced had named </w:t>
            </w:r>
            <w:r w:rsidRPr="00705A4C">
              <w:t>Keith Steffens</w:t>
            </w:r>
            <w:r>
              <w:t xml:space="preserve">, the substitute instead names </w:t>
            </w:r>
            <w:r w:rsidRPr="00705A4C">
              <w:t>Keith Steffen</w:t>
            </w:r>
            <w:r>
              <w:t>.</w:t>
            </w:r>
          </w:p>
          <w:p w14:paraId="68B8DDC0" w14:textId="41AB922E" w:rsidR="00B43CD3" w:rsidRDefault="00B43CD3" w:rsidP="0058378B">
            <w:pPr>
              <w:jc w:val="both"/>
            </w:pPr>
          </w:p>
          <w:p w14:paraId="53D85F7C" w14:textId="4D51A8B0" w:rsidR="00B43CD3" w:rsidRDefault="00F74FB1" w:rsidP="0058378B">
            <w:pPr>
              <w:jc w:val="both"/>
            </w:pPr>
            <w:r>
              <w:t>Whereas the intro</w:t>
            </w:r>
            <w:r>
              <w:t xml:space="preserve">duced authorized the district to </w:t>
            </w:r>
            <w:r w:rsidRPr="00B43CD3">
              <w:t>charge a water service impact fee that is not greater than the capital recovery fee charged by the corporation on October 26, 2021, under the corporation's tariff</w:t>
            </w:r>
            <w:r>
              <w:t>, the substitute instead authorizes t</w:t>
            </w:r>
            <w:r w:rsidRPr="00B43CD3">
              <w:t xml:space="preserve">he district </w:t>
            </w:r>
            <w:r>
              <w:t>to</w:t>
            </w:r>
            <w:r w:rsidRPr="00B43CD3">
              <w:t xml:space="preserve"> charge an</w:t>
            </w:r>
            <w:r w:rsidRPr="00B43CD3">
              <w:t xml:space="preserve"> initial water service impact fee that is not greater than the impact fee charged by the corporation on September 1, 2023, under the corporation's tariff.</w:t>
            </w:r>
            <w:r>
              <w:t xml:space="preserve"> Whereas the introduced provided certain authorization for the </w:t>
            </w:r>
            <w:r w:rsidRPr="00B43CD3">
              <w:t xml:space="preserve">district </w:t>
            </w:r>
            <w:r>
              <w:t>to</w:t>
            </w:r>
            <w:r w:rsidRPr="00B43CD3">
              <w:t xml:space="preserve"> increase the water service </w:t>
            </w:r>
            <w:r w:rsidRPr="00B43CD3">
              <w:t>impact fee</w:t>
            </w:r>
            <w:r>
              <w:t xml:space="preserve">, the substitute instead provides </w:t>
            </w:r>
            <w:r w:rsidRPr="00B43CD3">
              <w:t>certain authorization</w:t>
            </w:r>
            <w:r>
              <w:t xml:space="preserve"> for t</w:t>
            </w:r>
            <w:r w:rsidRPr="00B43CD3">
              <w:t xml:space="preserve">he district </w:t>
            </w:r>
            <w:r>
              <w:t>to</w:t>
            </w:r>
            <w:r w:rsidRPr="00B43CD3">
              <w:t xml:space="preserve"> amend th</w:t>
            </w:r>
            <w:r>
              <w:t>at</w:t>
            </w:r>
            <w:r w:rsidRPr="00B43CD3">
              <w:t xml:space="preserve"> fee</w:t>
            </w:r>
            <w:r>
              <w:t>.</w:t>
            </w:r>
          </w:p>
          <w:p w14:paraId="5C598EE6" w14:textId="632ABBAD" w:rsidR="00B43CD3" w:rsidRDefault="00B43CD3" w:rsidP="0058378B">
            <w:pPr>
              <w:jc w:val="both"/>
            </w:pPr>
          </w:p>
          <w:p w14:paraId="63FAA775" w14:textId="4A880469" w:rsidR="00705A4C" w:rsidRPr="00705A4C" w:rsidRDefault="00F74FB1" w:rsidP="0058378B">
            <w:pPr>
              <w:jc w:val="both"/>
            </w:pPr>
            <w:r w:rsidRPr="00B43CD3">
              <w:t xml:space="preserve">Whereas the introduced provided for the bill's possible immediate effect, contingent on receiving the requisite constitutional vote, the substitute only </w:t>
            </w:r>
            <w:r w:rsidRPr="00B43CD3">
              <w:t>provides for the bill to take effect September 1, 2023, with no possibility for immediate effect.</w:t>
            </w:r>
          </w:p>
        </w:tc>
      </w:tr>
    </w:tbl>
    <w:p w14:paraId="09100C56" w14:textId="77777777" w:rsidR="004108C3" w:rsidRPr="008423E4" w:rsidRDefault="004108C3" w:rsidP="0058378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04DC" w14:textId="77777777" w:rsidR="00000000" w:rsidRDefault="00F74FB1">
      <w:r>
        <w:separator/>
      </w:r>
    </w:p>
  </w:endnote>
  <w:endnote w:type="continuationSeparator" w:id="0">
    <w:p w14:paraId="551614C7" w14:textId="77777777" w:rsidR="00000000" w:rsidRDefault="00F7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7AA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0376D" w14:paraId="3E72FE89" w14:textId="77777777" w:rsidTr="009C1E9A">
      <w:trPr>
        <w:cantSplit/>
      </w:trPr>
      <w:tc>
        <w:tcPr>
          <w:tcW w:w="0" w:type="pct"/>
        </w:tcPr>
        <w:p w14:paraId="0D2130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4BDD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7C724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38E9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15A40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376D" w14:paraId="6BEE0D5E" w14:textId="77777777" w:rsidTr="009C1E9A">
      <w:trPr>
        <w:cantSplit/>
      </w:trPr>
      <w:tc>
        <w:tcPr>
          <w:tcW w:w="0" w:type="pct"/>
        </w:tcPr>
        <w:p w14:paraId="5C9BA01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5A6A46" w14:textId="6D2955DD" w:rsidR="00EC379B" w:rsidRPr="009C1E9A" w:rsidRDefault="00F74FB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25244-D</w:t>
          </w:r>
        </w:p>
      </w:tc>
      <w:tc>
        <w:tcPr>
          <w:tcW w:w="2453" w:type="pct"/>
        </w:tcPr>
        <w:p w14:paraId="7CABF54A" w14:textId="7A595E14" w:rsidR="00EC379B" w:rsidRDefault="00F74FB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35A0B">
            <w:t>23.112.727</w:t>
          </w:r>
          <w:r>
            <w:fldChar w:fldCharType="end"/>
          </w:r>
        </w:p>
      </w:tc>
    </w:tr>
    <w:tr w:rsidR="0010376D" w14:paraId="29995A08" w14:textId="77777777" w:rsidTr="009C1E9A">
      <w:trPr>
        <w:cantSplit/>
      </w:trPr>
      <w:tc>
        <w:tcPr>
          <w:tcW w:w="0" w:type="pct"/>
        </w:tcPr>
        <w:p w14:paraId="2683C82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8A28DDC" w14:textId="17BF36FE" w:rsidR="00EC379B" w:rsidRPr="009C1E9A" w:rsidRDefault="00F74FB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24686</w:t>
          </w:r>
        </w:p>
      </w:tc>
      <w:tc>
        <w:tcPr>
          <w:tcW w:w="2453" w:type="pct"/>
        </w:tcPr>
        <w:p w14:paraId="7F28F6E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194EE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376D" w14:paraId="1F3D2D9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1FA38B" w14:textId="77777777" w:rsidR="00EC379B" w:rsidRDefault="00F74FB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7D206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90B539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D3E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FA43" w14:textId="77777777" w:rsidR="00000000" w:rsidRDefault="00F74FB1">
      <w:r>
        <w:separator/>
      </w:r>
    </w:p>
  </w:footnote>
  <w:footnote w:type="continuationSeparator" w:id="0">
    <w:p w14:paraId="04189F0A" w14:textId="77777777" w:rsidR="00000000" w:rsidRDefault="00F7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33F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302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40F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7A5"/>
    <w:multiLevelType w:val="hybridMultilevel"/>
    <w:tmpl w:val="C7048E24"/>
    <w:lvl w:ilvl="0" w:tplc="C9C64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34F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341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24A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04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0A6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AE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C7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6C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1BA7"/>
    <w:multiLevelType w:val="hybridMultilevel"/>
    <w:tmpl w:val="F63ACB48"/>
    <w:lvl w:ilvl="0" w:tplc="EE6E7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C6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EE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2D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03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26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42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49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B5CC2"/>
    <w:multiLevelType w:val="hybridMultilevel"/>
    <w:tmpl w:val="2D046BF8"/>
    <w:lvl w:ilvl="0" w:tplc="54723516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1F824A28" w:tentative="1">
      <w:start w:val="1"/>
      <w:numFmt w:val="lowerLetter"/>
      <w:lvlText w:val="%2."/>
      <w:lvlJc w:val="left"/>
      <w:pPr>
        <w:ind w:left="1440" w:hanging="360"/>
      </w:pPr>
    </w:lvl>
    <w:lvl w:ilvl="2" w:tplc="50D2E63A" w:tentative="1">
      <w:start w:val="1"/>
      <w:numFmt w:val="lowerRoman"/>
      <w:lvlText w:val="%3."/>
      <w:lvlJc w:val="right"/>
      <w:pPr>
        <w:ind w:left="2160" w:hanging="180"/>
      </w:pPr>
    </w:lvl>
    <w:lvl w:ilvl="3" w:tplc="CBBEE632" w:tentative="1">
      <w:start w:val="1"/>
      <w:numFmt w:val="decimal"/>
      <w:lvlText w:val="%4."/>
      <w:lvlJc w:val="left"/>
      <w:pPr>
        <w:ind w:left="2880" w:hanging="360"/>
      </w:pPr>
    </w:lvl>
    <w:lvl w:ilvl="4" w:tplc="B7D6411E" w:tentative="1">
      <w:start w:val="1"/>
      <w:numFmt w:val="lowerLetter"/>
      <w:lvlText w:val="%5."/>
      <w:lvlJc w:val="left"/>
      <w:pPr>
        <w:ind w:left="3600" w:hanging="360"/>
      </w:pPr>
    </w:lvl>
    <w:lvl w:ilvl="5" w:tplc="7040B0C0" w:tentative="1">
      <w:start w:val="1"/>
      <w:numFmt w:val="lowerRoman"/>
      <w:lvlText w:val="%6."/>
      <w:lvlJc w:val="right"/>
      <w:pPr>
        <w:ind w:left="4320" w:hanging="180"/>
      </w:pPr>
    </w:lvl>
    <w:lvl w:ilvl="6" w:tplc="3AB2092C" w:tentative="1">
      <w:start w:val="1"/>
      <w:numFmt w:val="decimal"/>
      <w:lvlText w:val="%7."/>
      <w:lvlJc w:val="left"/>
      <w:pPr>
        <w:ind w:left="5040" w:hanging="360"/>
      </w:pPr>
    </w:lvl>
    <w:lvl w:ilvl="7" w:tplc="4F3C0A30" w:tentative="1">
      <w:start w:val="1"/>
      <w:numFmt w:val="lowerLetter"/>
      <w:lvlText w:val="%8."/>
      <w:lvlJc w:val="left"/>
      <w:pPr>
        <w:ind w:left="5760" w:hanging="360"/>
      </w:pPr>
    </w:lvl>
    <w:lvl w:ilvl="8" w:tplc="305CA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A2EA1"/>
    <w:multiLevelType w:val="hybridMultilevel"/>
    <w:tmpl w:val="9F7A957A"/>
    <w:lvl w:ilvl="0" w:tplc="356A818C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6C009556" w:tentative="1">
      <w:start w:val="1"/>
      <w:numFmt w:val="lowerLetter"/>
      <w:lvlText w:val="%2."/>
      <w:lvlJc w:val="left"/>
      <w:pPr>
        <w:ind w:left="1440" w:hanging="360"/>
      </w:pPr>
    </w:lvl>
    <w:lvl w:ilvl="2" w:tplc="7E96B6F0" w:tentative="1">
      <w:start w:val="1"/>
      <w:numFmt w:val="lowerRoman"/>
      <w:lvlText w:val="%3."/>
      <w:lvlJc w:val="right"/>
      <w:pPr>
        <w:ind w:left="2160" w:hanging="180"/>
      </w:pPr>
    </w:lvl>
    <w:lvl w:ilvl="3" w:tplc="A8FAFE66" w:tentative="1">
      <w:start w:val="1"/>
      <w:numFmt w:val="decimal"/>
      <w:lvlText w:val="%4."/>
      <w:lvlJc w:val="left"/>
      <w:pPr>
        <w:ind w:left="2880" w:hanging="360"/>
      </w:pPr>
    </w:lvl>
    <w:lvl w:ilvl="4" w:tplc="2124E950" w:tentative="1">
      <w:start w:val="1"/>
      <w:numFmt w:val="lowerLetter"/>
      <w:lvlText w:val="%5."/>
      <w:lvlJc w:val="left"/>
      <w:pPr>
        <w:ind w:left="3600" w:hanging="360"/>
      </w:pPr>
    </w:lvl>
    <w:lvl w:ilvl="5" w:tplc="284AEFC0" w:tentative="1">
      <w:start w:val="1"/>
      <w:numFmt w:val="lowerRoman"/>
      <w:lvlText w:val="%6."/>
      <w:lvlJc w:val="right"/>
      <w:pPr>
        <w:ind w:left="4320" w:hanging="180"/>
      </w:pPr>
    </w:lvl>
    <w:lvl w:ilvl="6" w:tplc="5B1CACCC" w:tentative="1">
      <w:start w:val="1"/>
      <w:numFmt w:val="decimal"/>
      <w:lvlText w:val="%7."/>
      <w:lvlJc w:val="left"/>
      <w:pPr>
        <w:ind w:left="5040" w:hanging="360"/>
      </w:pPr>
    </w:lvl>
    <w:lvl w:ilvl="7" w:tplc="7D046210" w:tentative="1">
      <w:start w:val="1"/>
      <w:numFmt w:val="lowerLetter"/>
      <w:lvlText w:val="%8."/>
      <w:lvlJc w:val="left"/>
      <w:pPr>
        <w:ind w:left="5760" w:hanging="360"/>
      </w:pPr>
    </w:lvl>
    <w:lvl w:ilvl="8" w:tplc="635666D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01321">
    <w:abstractNumId w:val="0"/>
  </w:num>
  <w:num w:numId="2" w16cid:durableId="716052657">
    <w:abstractNumId w:val="3"/>
  </w:num>
  <w:num w:numId="3" w16cid:durableId="584386320">
    <w:abstractNumId w:val="1"/>
  </w:num>
  <w:num w:numId="4" w16cid:durableId="1587425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6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964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431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87C"/>
    <w:rsid w:val="000F6A06"/>
    <w:rsid w:val="0010154D"/>
    <w:rsid w:val="00102D3F"/>
    <w:rsid w:val="00102EC7"/>
    <w:rsid w:val="0010347D"/>
    <w:rsid w:val="0010376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1F49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130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DE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2524"/>
    <w:rsid w:val="00403B15"/>
    <w:rsid w:val="00403E8A"/>
    <w:rsid w:val="00406A2E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11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4BAC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378B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39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304"/>
    <w:rsid w:val="006402E7"/>
    <w:rsid w:val="00640CB6"/>
    <w:rsid w:val="00641B42"/>
    <w:rsid w:val="00645750"/>
    <w:rsid w:val="00650692"/>
    <w:rsid w:val="006508D3"/>
    <w:rsid w:val="00650AFA"/>
    <w:rsid w:val="006537B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26B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D0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A7E"/>
    <w:rsid w:val="007031BD"/>
    <w:rsid w:val="00703E80"/>
    <w:rsid w:val="00705276"/>
    <w:rsid w:val="00705A4C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A6F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97AEF"/>
    <w:rsid w:val="007A0989"/>
    <w:rsid w:val="007A331F"/>
    <w:rsid w:val="007A3844"/>
    <w:rsid w:val="007A4381"/>
    <w:rsid w:val="007A5466"/>
    <w:rsid w:val="007A7EC1"/>
    <w:rsid w:val="007B4FCA"/>
    <w:rsid w:val="007B7B85"/>
    <w:rsid w:val="007C28C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398C"/>
    <w:rsid w:val="007F4162"/>
    <w:rsid w:val="007F5441"/>
    <w:rsid w:val="007F7668"/>
    <w:rsid w:val="00800C63"/>
    <w:rsid w:val="0080176F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450"/>
    <w:rsid w:val="00967126"/>
    <w:rsid w:val="00970EAE"/>
    <w:rsid w:val="00971627"/>
    <w:rsid w:val="00972797"/>
    <w:rsid w:val="0097279D"/>
    <w:rsid w:val="00976837"/>
    <w:rsid w:val="00980311"/>
    <w:rsid w:val="0098170E"/>
    <w:rsid w:val="00981BB2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71A"/>
    <w:rsid w:val="00A0042D"/>
    <w:rsid w:val="00A0053A"/>
    <w:rsid w:val="00A00C33"/>
    <w:rsid w:val="00A00E47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17F"/>
    <w:rsid w:val="00A1446F"/>
    <w:rsid w:val="00A151B5"/>
    <w:rsid w:val="00A220FF"/>
    <w:rsid w:val="00A227E0"/>
    <w:rsid w:val="00A232E4"/>
    <w:rsid w:val="00A24AAD"/>
    <w:rsid w:val="00A26748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4B84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1AF"/>
    <w:rsid w:val="00B233BB"/>
    <w:rsid w:val="00B25612"/>
    <w:rsid w:val="00B26437"/>
    <w:rsid w:val="00B2678E"/>
    <w:rsid w:val="00B30647"/>
    <w:rsid w:val="00B31F0E"/>
    <w:rsid w:val="00B34F25"/>
    <w:rsid w:val="00B43672"/>
    <w:rsid w:val="00B43CD3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15D"/>
    <w:rsid w:val="00B90999"/>
    <w:rsid w:val="00B91AD7"/>
    <w:rsid w:val="00B92D23"/>
    <w:rsid w:val="00B95BC8"/>
    <w:rsid w:val="00B96E87"/>
    <w:rsid w:val="00B97E24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A0B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3D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E4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332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8F3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6EC2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FB1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7CF15F-885C-4A04-855E-4EBD3E83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B4B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4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4B8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4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4B84"/>
    <w:rPr>
      <w:b/>
      <w:bCs/>
    </w:rPr>
  </w:style>
  <w:style w:type="paragraph" w:styleId="Revision">
    <w:name w:val="Revision"/>
    <w:hidden/>
    <w:uiPriority w:val="99"/>
    <w:semiHidden/>
    <w:rsid w:val="000D74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5138</Characters>
  <Application>Microsoft Office Word</Application>
  <DocSecurity>4</DocSecurity>
  <Lines>111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HB05303 (Committee Report (Substituted))</vt:lpstr>
    </vt:vector>
  </TitlesOfParts>
  <Company>State of Texas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25244</dc:subject>
  <dc:creator>State of Texas</dc:creator>
  <dc:description>HB 5303 by Kuempel-(H)Natural Resources (Substitute Document Number: 88R 24686)</dc:description>
  <cp:lastModifiedBy>Stacey Nicchio</cp:lastModifiedBy>
  <cp:revision>2</cp:revision>
  <cp:lastPrinted>2003-11-26T17:21:00Z</cp:lastPrinted>
  <dcterms:created xsi:type="dcterms:W3CDTF">2023-04-25T17:18:00Z</dcterms:created>
  <dcterms:modified xsi:type="dcterms:W3CDTF">2023-04-25T17:18:00Z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23.112.727</vt:lpwstr>
  </property>
</Properties>
</file>