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27AE1" w14:paraId="6DA7FE3E" w14:textId="77777777" w:rsidTr="00345119">
        <w:tc>
          <w:tcPr>
            <w:tcW w:w="9576" w:type="dxa"/>
            <w:noWrap/>
          </w:tcPr>
          <w:p w14:paraId="451FBD25" w14:textId="77777777" w:rsidR="008423E4" w:rsidRPr="0022177D" w:rsidRDefault="00902128" w:rsidP="00261101">
            <w:pPr>
              <w:pStyle w:val="Heading1"/>
            </w:pPr>
            <w:r>
              <w:t>RESOLUTION ANALYSIS</w:t>
            </w:r>
          </w:p>
        </w:tc>
      </w:tr>
    </w:tbl>
    <w:p w14:paraId="60D18D81" w14:textId="77777777" w:rsidR="008423E4" w:rsidRPr="0022177D" w:rsidRDefault="008423E4" w:rsidP="00261101">
      <w:pPr>
        <w:jc w:val="center"/>
      </w:pPr>
    </w:p>
    <w:p w14:paraId="622E66CD" w14:textId="77777777" w:rsidR="008423E4" w:rsidRPr="00B31F0E" w:rsidRDefault="008423E4" w:rsidP="00261101"/>
    <w:p w14:paraId="292AB79E" w14:textId="77777777" w:rsidR="008423E4" w:rsidRPr="00742794" w:rsidRDefault="008423E4" w:rsidP="0026110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7AE1" w14:paraId="43E21FAF" w14:textId="77777777" w:rsidTr="00345119">
        <w:tc>
          <w:tcPr>
            <w:tcW w:w="9576" w:type="dxa"/>
          </w:tcPr>
          <w:p w14:paraId="66D2E683" w14:textId="6328BA7E" w:rsidR="008423E4" w:rsidRPr="00861995" w:rsidRDefault="00902128" w:rsidP="00261101">
            <w:pPr>
              <w:jc w:val="right"/>
            </w:pPr>
            <w:r>
              <w:t>C.S.H.J.R. 2</w:t>
            </w:r>
          </w:p>
        </w:tc>
      </w:tr>
      <w:tr w:rsidR="00F27AE1" w14:paraId="220703C5" w14:textId="77777777" w:rsidTr="00345119">
        <w:tc>
          <w:tcPr>
            <w:tcW w:w="9576" w:type="dxa"/>
          </w:tcPr>
          <w:p w14:paraId="54E64C39" w14:textId="188B1D2A" w:rsidR="008423E4" w:rsidRPr="00861995" w:rsidRDefault="00902128" w:rsidP="00261101">
            <w:pPr>
              <w:jc w:val="right"/>
            </w:pPr>
            <w:r>
              <w:t xml:space="preserve">By: </w:t>
            </w:r>
            <w:r w:rsidR="00291072">
              <w:t>Bonnen</w:t>
            </w:r>
          </w:p>
        </w:tc>
      </w:tr>
      <w:tr w:rsidR="00F27AE1" w14:paraId="63032018" w14:textId="77777777" w:rsidTr="00345119">
        <w:tc>
          <w:tcPr>
            <w:tcW w:w="9576" w:type="dxa"/>
          </w:tcPr>
          <w:p w14:paraId="022866F9" w14:textId="45490511" w:rsidR="008423E4" w:rsidRPr="00861995" w:rsidRDefault="00902128" w:rsidP="00261101">
            <w:pPr>
              <w:jc w:val="right"/>
            </w:pPr>
            <w:r>
              <w:t>Pensions, Investments &amp; Financial Services</w:t>
            </w:r>
          </w:p>
        </w:tc>
      </w:tr>
      <w:tr w:rsidR="00F27AE1" w14:paraId="4DC858DD" w14:textId="77777777" w:rsidTr="00345119">
        <w:tc>
          <w:tcPr>
            <w:tcW w:w="9576" w:type="dxa"/>
          </w:tcPr>
          <w:p w14:paraId="09F3170F" w14:textId="16B32ED0" w:rsidR="008423E4" w:rsidRDefault="00902128" w:rsidP="00261101">
            <w:pPr>
              <w:jc w:val="right"/>
            </w:pPr>
            <w:r>
              <w:t>Committee Report (Substituted)</w:t>
            </w:r>
          </w:p>
        </w:tc>
      </w:tr>
    </w:tbl>
    <w:p w14:paraId="1A05FBE4" w14:textId="77777777" w:rsidR="008423E4" w:rsidRDefault="008423E4" w:rsidP="00261101">
      <w:pPr>
        <w:tabs>
          <w:tab w:val="right" w:pos="9360"/>
        </w:tabs>
      </w:pPr>
    </w:p>
    <w:p w14:paraId="729D18FD" w14:textId="77777777" w:rsidR="008423E4" w:rsidRDefault="008423E4" w:rsidP="00261101"/>
    <w:p w14:paraId="0FD4A6D6" w14:textId="77777777" w:rsidR="008423E4" w:rsidRDefault="008423E4" w:rsidP="0026110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27AE1" w14:paraId="73F24F79" w14:textId="77777777" w:rsidTr="00345119">
        <w:tc>
          <w:tcPr>
            <w:tcW w:w="9576" w:type="dxa"/>
          </w:tcPr>
          <w:p w14:paraId="6C111C35" w14:textId="77777777" w:rsidR="008423E4" w:rsidRPr="00A8133F" w:rsidRDefault="00902128" w:rsidP="002611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7740D7F" w14:textId="77777777" w:rsidR="008423E4" w:rsidRDefault="008423E4" w:rsidP="00261101"/>
          <w:p w14:paraId="2179D882" w14:textId="4D4A8B24" w:rsidR="00545DEA" w:rsidRDefault="00902128" w:rsidP="002611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many years since the last cost-of-living adjustment for retired teachers, which has resulted in a substantial decline in purchasing power. </w:t>
            </w:r>
            <w:r w:rsidR="000401FF">
              <w:t>C.S.</w:t>
            </w:r>
            <w:r>
              <w:t>H.J.R.</w:t>
            </w:r>
            <w:r w:rsidR="00965A7E">
              <w:t> </w:t>
            </w:r>
            <w:r>
              <w:t>2 propose</w:t>
            </w:r>
            <w:r w:rsidR="000401FF">
              <w:t>s a</w:t>
            </w:r>
            <w:r>
              <w:t xml:space="preserve"> constitutional amendment </w:t>
            </w:r>
            <w:r w:rsidR="000401FF">
              <w:t xml:space="preserve">to </w:t>
            </w:r>
            <w:r>
              <w:t xml:space="preserve">make an appropriation of $3.45 billion to </w:t>
            </w:r>
            <w:r w:rsidR="000401FF">
              <w:t>the Teacher Retirement System of Texas (</w:t>
            </w:r>
            <w:r>
              <w:t>TRS</w:t>
            </w:r>
            <w:r w:rsidR="000401FF">
              <w:t>)</w:t>
            </w:r>
            <w:r>
              <w:t xml:space="preserve"> for the cost of the benefit enhancements </w:t>
            </w:r>
            <w:r w:rsidR="000401FF">
              <w:t xml:space="preserve">provided </w:t>
            </w:r>
            <w:r w:rsidR="002C5198">
              <w:t>in</w:t>
            </w:r>
            <w:r w:rsidR="008B2907">
              <w:t xml:space="preserve"> th</w:t>
            </w:r>
            <w:r w:rsidR="007307C3">
              <w:t>is</w:t>
            </w:r>
            <w:r w:rsidR="008B2907">
              <w:t xml:space="preserve"> resolution's enabling legislation,</w:t>
            </w:r>
            <w:r>
              <w:t xml:space="preserve"> H.B.</w:t>
            </w:r>
            <w:r w:rsidR="00965A7E">
              <w:t> </w:t>
            </w:r>
            <w:r>
              <w:t xml:space="preserve">600. </w:t>
            </w:r>
            <w:r w:rsidR="007307C3">
              <w:t xml:space="preserve">This amount also </w:t>
            </w:r>
            <w:r w:rsidR="002C35CE">
              <w:t>provides</w:t>
            </w:r>
            <w:r>
              <w:t xml:space="preserve"> a one-time state contribution to the </w:t>
            </w:r>
            <w:r w:rsidR="002C35CE">
              <w:t xml:space="preserve">pension </w:t>
            </w:r>
            <w:r>
              <w:t xml:space="preserve">fund to reduce </w:t>
            </w:r>
            <w:r w:rsidR="002C35CE">
              <w:t xml:space="preserve">the </w:t>
            </w:r>
            <w:r>
              <w:t xml:space="preserve">amount needed in </w:t>
            </w:r>
            <w:r w:rsidR="00853371">
              <w:t xml:space="preserve">the </w:t>
            </w:r>
            <w:r>
              <w:t>legacy p</w:t>
            </w:r>
            <w:r>
              <w:t>ayments</w:t>
            </w:r>
            <w:r w:rsidR="002C35CE">
              <w:t xml:space="preserve"> </w:t>
            </w:r>
            <w:r w:rsidR="00853371">
              <w:t xml:space="preserve">required to </w:t>
            </w:r>
            <w:r w:rsidR="00853371" w:rsidRPr="00853371">
              <w:t xml:space="preserve">fully fund </w:t>
            </w:r>
            <w:r w:rsidR="00853371">
              <w:t>TRS</w:t>
            </w:r>
            <w:r w:rsidR="00853371" w:rsidRPr="00853371">
              <w:t xml:space="preserve"> </w:t>
            </w:r>
            <w:r w:rsidR="002C35CE">
              <w:t>and</w:t>
            </w:r>
            <w:r>
              <w:t xml:space="preserve"> legacy payments for each year of the upcoming biennium.</w:t>
            </w:r>
            <w:r w:rsidR="000401FF">
              <w:t xml:space="preserve"> This constitutional amendment </w:t>
            </w:r>
            <w:r>
              <w:t>ensure</w:t>
            </w:r>
            <w:r w:rsidR="000401FF">
              <w:t>s</w:t>
            </w:r>
            <w:r>
              <w:t xml:space="preserve"> </w:t>
            </w:r>
            <w:r w:rsidR="000401FF">
              <w:t xml:space="preserve">that </w:t>
            </w:r>
            <w:r>
              <w:t xml:space="preserve">future </w:t>
            </w:r>
            <w:r w:rsidR="004228F2">
              <w:t xml:space="preserve">TRS </w:t>
            </w:r>
            <w:r>
              <w:t xml:space="preserve">benefit enhancements </w:t>
            </w:r>
            <w:r w:rsidR="000401FF">
              <w:t>are</w:t>
            </w:r>
            <w:r>
              <w:t xml:space="preserve"> paid for by state revenues and not out of the pension fund</w:t>
            </w:r>
            <w:r w:rsidR="007307C3">
              <w:t>, so that</w:t>
            </w:r>
            <w:r w:rsidR="000401FF">
              <w:t xml:space="preserve"> </w:t>
            </w:r>
            <w:r>
              <w:t xml:space="preserve">the </w:t>
            </w:r>
            <w:r w:rsidR="000401FF">
              <w:t>f</w:t>
            </w:r>
            <w:r>
              <w:t xml:space="preserve">und </w:t>
            </w:r>
            <w:r w:rsidR="007307C3">
              <w:t xml:space="preserve">can </w:t>
            </w:r>
            <w:r>
              <w:t>remain solvent and actuari</w:t>
            </w:r>
            <w:r w:rsidR="007307C3">
              <w:t>a</w:t>
            </w:r>
            <w:r>
              <w:t>l</w:t>
            </w:r>
            <w:r w:rsidR="007307C3">
              <w:t>l</w:t>
            </w:r>
            <w:r>
              <w:t>y sound.</w:t>
            </w:r>
          </w:p>
          <w:p w14:paraId="4C79B3C4" w14:textId="77777777" w:rsidR="008423E4" w:rsidRPr="00E26B13" w:rsidRDefault="008423E4" w:rsidP="00261101">
            <w:pPr>
              <w:rPr>
                <w:b/>
              </w:rPr>
            </w:pPr>
          </w:p>
        </w:tc>
      </w:tr>
      <w:tr w:rsidR="00F27AE1" w14:paraId="3072E9A8" w14:textId="77777777" w:rsidTr="00345119">
        <w:tc>
          <w:tcPr>
            <w:tcW w:w="9576" w:type="dxa"/>
          </w:tcPr>
          <w:p w14:paraId="31DFDD07" w14:textId="77777777" w:rsidR="0017725B" w:rsidRDefault="00902128" w:rsidP="002611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42F29FC" w14:textId="77777777" w:rsidR="0017725B" w:rsidRDefault="0017725B" w:rsidP="00261101">
            <w:pPr>
              <w:rPr>
                <w:b/>
                <w:u w:val="single"/>
              </w:rPr>
            </w:pPr>
          </w:p>
          <w:p w14:paraId="3619C07C" w14:textId="14FA3050" w:rsidR="001937A7" w:rsidRPr="001937A7" w:rsidRDefault="00902128" w:rsidP="00261101">
            <w:pPr>
              <w:jc w:val="both"/>
            </w:pPr>
            <w:r>
              <w:t>It is the committee's opinion that this resolution does not expressly create a criminal offense, increase the</w:t>
            </w:r>
            <w:r>
              <w:t xml:space="preserve"> punishment for an existing criminal offense or category of offenses, or change the eligibility of a person for community supervision, parole, or mandatory supervision.</w:t>
            </w:r>
          </w:p>
          <w:p w14:paraId="252C52D8" w14:textId="77777777" w:rsidR="0017725B" w:rsidRPr="0017725B" w:rsidRDefault="0017725B" w:rsidP="00261101">
            <w:pPr>
              <w:rPr>
                <w:b/>
                <w:u w:val="single"/>
              </w:rPr>
            </w:pPr>
          </w:p>
        </w:tc>
      </w:tr>
      <w:tr w:rsidR="00F27AE1" w14:paraId="42CD1FED" w14:textId="77777777" w:rsidTr="00345119">
        <w:tc>
          <w:tcPr>
            <w:tcW w:w="9576" w:type="dxa"/>
          </w:tcPr>
          <w:p w14:paraId="437AACEB" w14:textId="77777777" w:rsidR="008423E4" w:rsidRPr="00A8133F" w:rsidRDefault="00902128" w:rsidP="002611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4899DF" w14:textId="77777777" w:rsidR="008423E4" w:rsidRDefault="008423E4" w:rsidP="00261101"/>
          <w:p w14:paraId="719F2B52" w14:textId="024DED0B" w:rsidR="001937A7" w:rsidRDefault="00902128" w:rsidP="002611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</w:t>
            </w:r>
            <w:r>
              <w:t>pressly grant any additional rulemaking authority to a state officer, department, agency, or institution.</w:t>
            </w:r>
          </w:p>
          <w:p w14:paraId="48D231CB" w14:textId="77777777" w:rsidR="008423E4" w:rsidRPr="00E21FDC" w:rsidRDefault="008423E4" w:rsidP="00261101">
            <w:pPr>
              <w:rPr>
                <w:b/>
              </w:rPr>
            </w:pPr>
          </w:p>
        </w:tc>
      </w:tr>
      <w:tr w:rsidR="00F27AE1" w14:paraId="568C5E10" w14:textId="77777777" w:rsidTr="00345119">
        <w:tc>
          <w:tcPr>
            <w:tcW w:w="9576" w:type="dxa"/>
          </w:tcPr>
          <w:p w14:paraId="524E8D88" w14:textId="77777777" w:rsidR="008423E4" w:rsidRPr="00A8133F" w:rsidRDefault="00902128" w:rsidP="002611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A986A5B" w14:textId="77777777" w:rsidR="008423E4" w:rsidRDefault="008423E4" w:rsidP="00261101"/>
          <w:p w14:paraId="38451466" w14:textId="6C67BF92" w:rsidR="00936F1F" w:rsidRDefault="00902128" w:rsidP="002611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937A7">
              <w:t>H.J.R. 2</w:t>
            </w:r>
            <w:r w:rsidR="00837DC5">
              <w:t xml:space="preserve"> proposes a</w:t>
            </w:r>
            <w:r w:rsidR="00344A3A">
              <w:t>n</w:t>
            </w:r>
            <w:r w:rsidR="00837DC5">
              <w:t xml:space="preserve"> amendment to the Texas Constitution to authorize the legislature by general law to </w:t>
            </w:r>
            <w:r w:rsidR="00837DC5" w:rsidRPr="00837DC5">
              <w:t xml:space="preserve">provide </w:t>
            </w:r>
            <w:r>
              <w:t xml:space="preserve">one or more </w:t>
            </w:r>
            <w:r>
              <w:t>cost-of-living adjustments or supplemental payments as</w:t>
            </w:r>
            <w:r w:rsidR="00837DC5" w:rsidRPr="00837DC5">
              <w:t xml:space="preserve"> benefit enhancement</w:t>
            </w:r>
            <w:r>
              <w:t>s</w:t>
            </w:r>
            <w:r w:rsidR="00837DC5" w:rsidRPr="00837DC5">
              <w:t xml:space="preserve"> to annuitants of the Teacher Retirement System of Texas</w:t>
            </w:r>
            <w:r w:rsidR="00837DC5">
              <w:t xml:space="preserve"> (TRS)</w:t>
            </w:r>
            <w:r w:rsidR="00A22CFB">
              <w:t xml:space="preserve"> who are eligible for the enhancements, as determined by that law</w:t>
            </w:r>
            <w:r w:rsidR="00332CE4">
              <w:t>. The</w:t>
            </w:r>
            <w:r w:rsidR="00344A3A">
              <w:t xml:space="preserve"> legislature may provide such a benefit enhancement and direct the comptroller of public accounts to transfer funds to TRS for the payment of a benefit enhancement </w:t>
            </w:r>
            <w:r>
              <w:t xml:space="preserve">contingent on the following: </w:t>
            </w:r>
          </w:p>
          <w:p w14:paraId="68EC41C7" w14:textId="1F5F5A49" w:rsidR="00936F1F" w:rsidRDefault="00902128" w:rsidP="0026110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TRS being actuarially sound</w:t>
            </w:r>
            <w:r w:rsidR="00FB49A3">
              <w:t>,</w:t>
            </w:r>
            <w:r>
              <w:t xml:space="preserve"> as </w:t>
            </w:r>
            <w:r w:rsidR="00A22CFB">
              <w:t xml:space="preserve">determined </w:t>
            </w:r>
            <w:r>
              <w:t>by general law; and</w:t>
            </w:r>
            <w:r w:rsidR="0002732F">
              <w:t xml:space="preserve"> </w:t>
            </w:r>
          </w:p>
          <w:p w14:paraId="3434F7A1" w14:textId="078543A4" w:rsidR="009C36CD" w:rsidRDefault="00902128" w:rsidP="0026110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legislature appropriat</w:t>
            </w:r>
            <w:r w:rsidR="00936F1F">
              <w:t>ing money in an amount</w:t>
            </w:r>
            <w:r>
              <w:t xml:space="preserve"> sufficient to fully pay for the benefit enhancement, as determined by </w:t>
            </w:r>
            <w:r w:rsidR="00936F1F">
              <w:t xml:space="preserve">the </w:t>
            </w:r>
            <w:r>
              <w:t>TRS</w:t>
            </w:r>
            <w:r w:rsidR="00936F1F">
              <w:t xml:space="preserve"> board of trustees</w:t>
            </w:r>
            <w:r w:rsidR="00344A3A">
              <w:t>.</w:t>
            </w:r>
          </w:p>
          <w:p w14:paraId="638AFE78" w14:textId="66512A6B" w:rsidR="00A0170D" w:rsidRDefault="00A0170D" w:rsidP="002611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D52921" w14:textId="33563DA3" w:rsidR="00A0170D" w:rsidRPr="009C36CD" w:rsidRDefault="00902128" w:rsidP="00261101">
            <w:pPr>
              <w:pStyle w:val="Header"/>
              <w:jc w:val="both"/>
            </w:pPr>
            <w:r>
              <w:t>C.S.H.J.R. 2</w:t>
            </w:r>
            <w:r w:rsidR="007C31AD">
              <w:t xml:space="preserve"> requires the comptroller, as soon as practicable after the effective date of the amendment proposed by the resolution, to transfer $3.45 billion from the general revenue fund to </w:t>
            </w:r>
            <w:r w:rsidR="007E410C">
              <w:t xml:space="preserve">the trust fund of </w:t>
            </w:r>
            <w:r w:rsidR="007C31AD">
              <w:t>TRS</w:t>
            </w:r>
            <w:r w:rsidR="00C670AE">
              <w:t xml:space="preserve">. </w:t>
            </w:r>
            <w:r w:rsidR="007E410C">
              <w:t>TRS may spend</w:t>
            </w:r>
            <w:r w:rsidR="00C670AE">
              <w:t xml:space="preserve"> this transferred money</w:t>
            </w:r>
            <w:r w:rsidR="007E410C">
              <w:t xml:space="preserve"> only</w:t>
            </w:r>
            <w:r w:rsidR="007C31AD">
              <w:t xml:space="preserve"> for the purpose</w:t>
            </w:r>
            <w:r w:rsidR="00C670AE">
              <w:t>s</w:t>
            </w:r>
            <w:r w:rsidR="007C31AD">
              <w:t xml:space="preserve"> of providing contributions, </w:t>
            </w:r>
            <w:r w:rsidR="007E410C">
              <w:t xml:space="preserve">actuarially determined </w:t>
            </w:r>
            <w:r w:rsidR="007C31AD">
              <w:t xml:space="preserve">payments, and benefit enhancements to </w:t>
            </w:r>
            <w:r w:rsidR="0017189E">
              <w:t xml:space="preserve">TRS </w:t>
            </w:r>
            <w:r w:rsidR="007C31AD">
              <w:t>annuitants</w:t>
            </w:r>
            <w:r w:rsidR="007E410C">
              <w:t>,</w:t>
            </w:r>
            <w:r w:rsidR="007C31AD">
              <w:t xml:space="preserve"> as provided by </w:t>
            </w:r>
            <w:r w:rsidR="007E410C">
              <w:t>general law</w:t>
            </w:r>
            <w:r w:rsidR="007C31AD">
              <w:t xml:space="preserve">. </w:t>
            </w:r>
            <w:r w:rsidR="0017189E">
              <w:t>T</w:t>
            </w:r>
            <w:r w:rsidR="007C31AD">
              <w:t xml:space="preserve">his </w:t>
            </w:r>
            <w:r w:rsidR="0017189E">
              <w:t xml:space="preserve">transfer </w:t>
            </w:r>
            <w:r w:rsidR="007C31AD">
              <w:t xml:space="preserve">is not an appropriation of state tax revenues for purposes </w:t>
            </w:r>
            <w:r w:rsidR="00997E4E">
              <w:t xml:space="preserve">of </w:t>
            </w:r>
            <w:r w:rsidR="007C31AD">
              <w:t>constitution</w:t>
            </w:r>
            <w:r w:rsidR="0017189E">
              <w:t>al provisions restricting the rate of growth of appropriations</w:t>
            </w:r>
            <w:r w:rsidR="007C31AD">
              <w:t xml:space="preserve">. </w:t>
            </w:r>
            <w:r w:rsidR="0017189E">
              <w:t>These</w:t>
            </w:r>
            <w:r w:rsidR="007C31AD">
              <w:t xml:space="preserve"> provision</w:t>
            </w:r>
            <w:r w:rsidR="0017189E">
              <w:t>s</w:t>
            </w:r>
            <w:r w:rsidR="007C31AD">
              <w:t xml:space="preserve"> expire January 1, 20</w:t>
            </w:r>
            <w:r>
              <w:t>56</w:t>
            </w:r>
            <w:r w:rsidR="007C31AD">
              <w:t>.</w:t>
            </w:r>
          </w:p>
          <w:p w14:paraId="6F0CBBC5" w14:textId="77777777" w:rsidR="008423E4" w:rsidRPr="00835628" w:rsidRDefault="008423E4" w:rsidP="00261101">
            <w:pPr>
              <w:rPr>
                <w:b/>
              </w:rPr>
            </w:pPr>
          </w:p>
        </w:tc>
      </w:tr>
      <w:tr w:rsidR="00F27AE1" w14:paraId="55046A9A" w14:textId="77777777" w:rsidTr="00345119">
        <w:tc>
          <w:tcPr>
            <w:tcW w:w="9576" w:type="dxa"/>
          </w:tcPr>
          <w:p w14:paraId="6201826C" w14:textId="77777777" w:rsidR="008423E4" w:rsidRPr="00A8133F" w:rsidRDefault="00902128" w:rsidP="00261101">
            <w:pPr>
              <w:keepNext/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6EF557AD" w14:textId="77777777" w:rsidR="008423E4" w:rsidRDefault="008423E4" w:rsidP="00261101">
            <w:pPr>
              <w:keepNext/>
            </w:pPr>
          </w:p>
          <w:p w14:paraId="55317E02" w14:textId="1ADAB12A" w:rsidR="008423E4" w:rsidRPr="003624F2" w:rsidRDefault="00902128" w:rsidP="002611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constitutional amendment proposed by this </w:t>
            </w:r>
            <w:r>
              <w:t>joint resolution will be submitted to the voters at an election to be held November 7, 2023.</w:t>
            </w:r>
          </w:p>
          <w:p w14:paraId="66BBFDCC" w14:textId="77777777" w:rsidR="008423E4" w:rsidRPr="00233FDB" w:rsidRDefault="008423E4" w:rsidP="00261101">
            <w:pPr>
              <w:rPr>
                <w:b/>
              </w:rPr>
            </w:pPr>
          </w:p>
        </w:tc>
      </w:tr>
      <w:tr w:rsidR="00F27AE1" w14:paraId="1415128A" w14:textId="77777777" w:rsidTr="00345119">
        <w:tc>
          <w:tcPr>
            <w:tcW w:w="9576" w:type="dxa"/>
          </w:tcPr>
          <w:p w14:paraId="2A768CAB" w14:textId="77777777" w:rsidR="00291072" w:rsidRDefault="00902128" w:rsidP="0026110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645038DE" w14:textId="77777777" w:rsidR="00352E93" w:rsidRDefault="00352E93" w:rsidP="00261101">
            <w:pPr>
              <w:jc w:val="both"/>
            </w:pPr>
          </w:p>
          <w:p w14:paraId="190CDB0C" w14:textId="084D7ACA" w:rsidR="00352E93" w:rsidRDefault="00902128" w:rsidP="00261101">
            <w:pPr>
              <w:jc w:val="both"/>
            </w:pPr>
            <w:r>
              <w:t xml:space="preserve">While C.S.H.J.R. 2 may differ from the introduced in minor or nonsubstantive ways, the following summarizes the substantial differences between the introduced and committee substitute versions of the </w:t>
            </w:r>
            <w:r w:rsidR="00254FF6">
              <w:t>resolution</w:t>
            </w:r>
            <w:r>
              <w:t>.</w:t>
            </w:r>
          </w:p>
          <w:p w14:paraId="4EBF630F" w14:textId="2AD4CB0D" w:rsidR="00352E93" w:rsidRDefault="00352E93" w:rsidP="00261101">
            <w:pPr>
              <w:jc w:val="both"/>
            </w:pPr>
          </w:p>
          <w:p w14:paraId="407E75AF" w14:textId="13B63B2B" w:rsidR="00352E93" w:rsidRDefault="00902128" w:rsidP="00261101">
            <w:pPr>
              <w:jc w:val="both"/>
            </w:pPr>
            <w:r>
              <w:t>Whereas both the introduced and the substit</w:t>
            </w:r>
            <w:r>
              <w:t xml:space="preserve">ute provide for certain benefit enhancements for TRS annuitants </w:t>
            </w:r>
            <w:r w:rsidR="00EB37BF">
              <w:t>funded by a $3.45 billion transfer of state funds to TRS, the substitute clarifies the resolution's provisions in the following manner:</w:t>
            </w:r>
          </w:p>
          <w:p w14:paraId="51089C6A" w14:textId="3C3BA0D6" w:rsidR="00EB37BF" w:rsidRDefault="00902128" w:rsidP="00261101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authorizes the provision of one or more cost-of-living a</w:t>
            </w:r>
            <w:r>
              <w:t>djustments or supplemental payments as benefit enhancements, instead of a one-time or ongoing benefit enhancement as in the introduced;</w:t>
            </w:r>
          </w:p>
          <w:p w14:paraId="33795AEC" w14:textId="576E8893" w:rsidR="00EB37BF" w:rsidRDefault="00902128" w:rsidP="00261101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specifies that </w:t>
            </w:r>
            <w:r w:rsidR="00A22CFB">
              <w:t xml:space="preserve">the </w:t>
            </w:r>
            <w:r>
              <w:t>TRS board of trustees is the entity responsible for determining whether the amount of money appropria</w:t>
            </w:r>
            <w:r>
              <w:t xml:space="preserve">ted to TRS is sufficient to fully pay for the benefit enhancement and that the money is to be transferred to </w:t>
            </w:r>
            <w:r w:rsidR="008D231A">
              <w:t xml:space="preserve">the </w:t>
            </w:r>
            <w:r>
              <w:t>TRS trust fund;</w:t>
            </w:r>
            <w:r w:rsidR="00F36161">
              <w:t xml:space="preserve"> and</w:t>
            </w:r>
          </w:p>
          <w:p w14:paraId="4F3A626B" w14:textId="779784CE" w:rsidR="00F36161" w:rsidRDefault="00902128" w:rsidP="00261101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clarifies the purposes for which the money may be spent.</w:t>
            </w:r>
          </w:p>
          <w:p w14:paraId="0ACEC4F5" w14:textId="6642BBA7" w:rsidR="00F36161" w:rsidRDefault="00F36161" w:rsidP="00261101">
            <w:pPr>
              <w:jc w:val="both"/>
            </w:pPr>
          </w:p>
          <w:p w14:paraId="11FEEEE6" w14:textId="78B83AB6" w:rsidR="00F36161" w:rsidRDefault="00902128" w:rsidP="00261101">
            <w:pPr>
              <w:jc w:val="both"/>
            </w:pPr>
            <w:r>
              <w:t xml:space="preserve">The substitute extends from January 1, 2025, </w:t>
            </w:r>
            <w:r w:rsidR="00FB49A3">
              <w:t xml:space="preserve">as in the introduced, </w:t>
            </w:r>
            <w:r>
              <w:t xml:space="preserve">to January 1, 2056, the date on which a temporary provision providing for the transfer of funds from the general revenue fund to the TRS trust fund </w:t>
            </w:r>
            <w:r w:rsidR="00FB49A3">
              <w:t>expires</w:t>
            </w:r>
            <w:r w:rsidR="008D231A">
              <w:t xml:space="preserve">. The substitute </w:t>
            </w:r>
            <w:r w:rsidR="00FB49A3">
              <w:t>omits</w:t>
            </w:r>
            <w:r>
              <w:t xml:space="preserve"> </w:t>
            </w:r>
            <w:r w:rsidR="008D231A">
              <w:t>provisions that were in the introduced specifying</w:t>
            </w:r>
            <w:r>
              <w:t xml:space="preserve"> that the transfer is for t</w:t>
            </w:r>
            <w:r>
              <w:t>he two-year period beginning September 1, 2023</w:t>
            </w:r>
            <w:r w:rsidR="008D231A">
              <w:t>, and</w:t>
            </w:r>
            <w:r>
              <w:t xml:space="preserve"> that the transferred funds are deemed available to TRS as of September 1, 2023, regardless of the date the comptroller actually transfers the funds. </w:t>
            </w:r>
          </w:p>
          <w:p w14:paraId="7956DACE" w14:textId="1D3C289D" w:rsidR="00352E93" w:rsidRPr="00352E93" w:rsidRDefault="00352E93" w:rsidP="00261101">
            <w:pPr>
              <w:jc w:val="both"/>
            </w:pPr>
          </w:p>
        </w:tc>
      </w:tr>
      <w:tr w:rsidR="00F27AE1" w14:paraId="63610EBD" w14:textId="77777777" w:rsidTr="00345119">
        <w:tc>
          <w:tcPr>
            <w:tcW w:w="9576" w:type="dxa"/>
          </w:tcPr>
          <w:p w14:paraId="2DEC7569" w14:textId="77777777" w:rsidR="00291072" w:rsidRDefault="00291072" w:rsidP="00261101">
            <w:pPr>
              <w:rPr>
                <w:b/>
                <w:u w:val="single"/>
              </w:rPr>
            </w:pPr>
          </w:p>
        </w:tc>
      </w:tr>
      <w:tr w:rsidR="00F27AE1" w14:paraId="77F11837" w14:textId="77777777" w:rsidTr="00345119">
        <w:tc>
          <w:tcPr>
            <w:tcW w:w="9576" w:type="dxa"/>
          </w:tcPr>
          <w:p w14:paraId="3ACA24C3" w14:textId="77777777" w:rsidR="00291072" w:rsidRPr="00291072" w:rsidRDefault="00291072" w:rsidP="00261101">
            <w:pPr>
              <w:jc w:val="both"/>
            </w:pPr>
          </w:p>
        </w:tc>
      </w:tr>
    </w:tbl>
    <w:p w14:paraId="257A7A93" w14:textId="77777777" w:rsidR="008423E4" w:rsidRPr="00BE0E75" w:rsidRDefault="008423E4" w:rsidP="00261101">
      <w:pPr>
        <w:jc w:val="both"/>
        <w:rPr>
          <w:rFonts w:ascii="Arial" w:hAnsi="Arial"/>
          <w:sz w:val="16"/>
          <w:szCs w:val="16"/>
        </w:rPr>
      </w:pPr>
    </w:p>
    <w:p w14:paraId="66BD3111" w14:textId="77777777" w:rsidR="004108C3" w:rsidRPr="008423E4" w:rsidRDefault="004108C3" w:rsidP="0026110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603A" w14:textId="77777777" w:rsidR="00000000" w:rsidRDefault="00902128">
      <w:r>
        <w:separator/>
      </w:r>
    </w:p>
  </w:endnote>
  <w:endnote w:type="continuationSeparator" w:id="0">
    <w:p w14:paraId="59041957" w14:textId="77777777" w:rsidR="00000000" w:rsidRDefault="0090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37B5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7AE1" w14:paraId="66F96761" w14:textId="77777777" w:rsidTr="009C1E9A">
      <w:trPr>
        <w:cantSplit/>
      </w:trPr>
      <w:tc>
        <w:tcPr>
          <w:tcW w:w="0" w:type="pct"/>
        </w:tcPr>
        <w:p w14:paraId="1B503F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B3E2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123DB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D5F5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948BF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7AE1" w14:paraId="6F808D08" w14:textId="77777777" w:rsidTr="009C1E9A">
      <w:trPr>
        <w:cantSplit/>
      </w:trPr>
      <w:tc>
        <w:tcPr>
          <w:tcW w:w="0" w:type="pct"/>
        </w:tcPr>
        <w:p w14:paraId="08FFEF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9C4CDE" w14:textId="1810F41D" w:rsidR="00EC379B" w:rsidRPr="009C1E9A" w:rsidRDefault="009021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88R </w:t>
          </w:r>
          <w:r>
            <w:rPr>
              <w:rFonts w:ascii="Shruti" w:hAnsi="Shruti"/>
              <w:sz w:val="22"/>
            </w:rPr>
            <w:t>21089-D</w:t>
          </w:r>
        </w:p>
      </w:tc>
      <w:tc>
        <w:tcPr>
          <w:tcW w:w="2453" w:type="pct"/>
        </w:tcPr>
        <w:p w14:paraId="503DD77C" w14:textId="3FC8C111" w:rsidR="00EC379B" w:rsidRDefault="009021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F53B7">
            <w:t>23.90.587</w:t>
          </w:r>
          <w:r>
            <w:fldChar w:fldCharType="end"/>
          </w:r>
        </w:p>
      </w:tc>
    </w:tr>
    <w:tr w:rsidR="00F27AE1" w14:paraId="38AF4A3A" w14:textId="77777777" w:rsidTr="009C1E9A">
      <w:trPr>
        <w:cantSplit/>
      </w:trPr>
      <w:tc>
        <w:tcPr>
          <w:tcW w:w="0" w:type="pct"/>
        </w:tcPr>
        <w:p w14:paraId="31AF55B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E77C683" w14:textId="1D542C3A" w:rsidR="00EC379B" w:rsidRPr="009C1E9A" w:rsidRDefault="009021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19532</w:t>
          </w:r>
        </w:p>
      </w:tc>
      <w:tc>
        <w:tcPr>
          <w:tcW w:w="2453" w:type="pct"/>
        </w:tcPr>
        <w:p w14:paraId="44076D8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C028B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7AE1" w14:paraId="6E61B7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7BF75E7" w14:textId="77777777" w:rsidR="00EC379B" w:rsidRDefault="009021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71AE8C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5D0FC7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124A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93F0" w14:textId="77777777" w:rsidR="00000000" w:rsidRDefault="00902128">
      <w:r>
        <w:separator/>
      </w:r>
    </w:p>
  </w:footnote>
  <w:footnote w:type="continuationSeparator" w:id="0">
    <w:p w14:paraId="689BB1EE" w14:textId="77777777" w:rsidR="00000000" w:rsidRDefault="0090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C66A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7E2E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417C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A0C"/>
    <w:multiLevelType w:val="hybridMultilevel"/>
    <w:tmpl w:val="633A42A8"/>
    <w:lvl w:ilvl="0" w:tplc="63148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C3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C0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24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6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E9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E4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61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25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9005F"/>
    <w:multiLevelType w:val="hybridMultilevel"/>
    <w:tmpl w:val="CFE65330"/>
    <w:lvl w:ilvl="0" w:tplc="4B5A2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AF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0D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89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EE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F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8E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47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01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485059">
    <w:abstractNumId w:val="0"/>
  </w:num>
  <w:num w:numId="2" w16cid:durableId="141736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A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8AA"/>
    <w:rsid w:val="00020C1E"/>
    <w:rsid w:val="00020E9B"/>
    <w:rsid w:val="000236C1"/>
    <w:rsid w:val="000236EC"/>
    <w:rsid w:val="0002413D"/>
    <w:rsid w:val="000249F2"/>
    <w:rsid w:val="0002732F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1FF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0F0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A77AF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58C1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89E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37A7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FF6"/>
    <w:rsid w:val="00255EB6"/>
    <w:rsid w:val="00257429"/>
    <w:rsid w:val="00260FA4"/>
    <w:rsid w:val="00261101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072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5E3"/>
    <w:rsid w:val="002B391B"/>
    <w:rsid w:val="002B5B42"/>
    <w:rsid w:val="002B7BA7"/>
    <w:rsid w:val="002C1C17"/>
    <w:rsid w:val="002C3203"/>
    <w:rsid w:val="002C35CE"/>
    <w:rsid w:val="002C3B07"/>
    <w:rsid w:val="002C5198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53B7"/>
    <w:rsid w:val="002F795D"/>
    <w:rsid w:val="00300823"/>
    <w:rsid w:val="00300D7F"/>
    <w:rsid w:val="00301461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CE4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4A3A"/>
    <w:rsid w:val="00347B4A"/>
    <w:rsid w:val="003500C3"/>
    <w:rsid w:val="003523BD"/>
    <w:rsid w:val="00352681"/>
    <w:rsid w:val="00352E93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28F2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C13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805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5DEA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2EC4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76F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CE4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97DDB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C4E"/>
    <w:rsid w:val="00712DDA"/>
    <w:rsid w:val="00717739"/>
    <w:rsid w:val="00717DE4"/>
    <w:rsid w:val="00721724"/>
    <w:rsid w:val="00722EC5"/>
    <w:rsid w:val="00723326"/>
    <w:rsid w:val="00724252"/>
    <w:rsid w:val="00727E7A"/>
    <w:rsid w:val="007307C3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00A"/>
    <w:rsid w:val="0076647A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3EE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31AD"/>
    <w:rsid w:val="007C462E"/>
    <w:rsid w:val="007C496B"/>
    <w:rsid w:val="007C6803"/>
    <w:rsid w:val="007D2892"/>
    <w:rsid w:val="007D2DCC"/>
    <w:rsid w:val="007D47E1"/>
    <w:rsid w:val="007D7FCB"/>
    <w:rsid w:val="007E33B6"/>
    <w:rsid w:val="007E410C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DC5"/>
    <w:rsid w:val="0084176D"/>
    <w:rsid w:val="008423E4"/>
    <w:rsid w:val="00842900"/>
    <w:rsid w:val="00850CF0"/>
    <w:rsid w:val="00851869"/>
    <w:rsid w:val="00851C04"/>
    <w:rsid w:val="008531A1"/>
    <w:rsid w:val="00853371"/>
    <w:rsid w:val="00853A94"/>
    <w:rsid w:val="008547A3"/>
    <w:rsid w:val="008561A8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907"/>
    <w:rsid w:val="008B2B1A"/>
    <w:rsid w:val="008B3428"/>
    <w:rsid w:val="008B4A91"/>
    <w:rsid w:val="008B7785"/>
    <w:rsid w:val="008B79F2"/>
    <w:rsid w:val="008C0809"/>
    <w:rsid w:val="008C132C"/>
    <w:rsid w:val="008C1D15"/>
    <w:rsid w:val="008C3FD0"/>
    <w:rsid w:val="008D094E"/>
    <w:rsid w:val="008D231A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399F"/>
    <w:rsid w:val="008F40DF"/>
    <w:rsid w:val="008F5E16"/>
    <w:rsid w:val="008F5EFC"/>
    <w:rsid w:val="00901670"/>
    <w:rsid w:val="00902128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6F1F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5A7E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D8A"/>
    <w:rsid w:val="00986720"/>
    <w:rsid w:val="00987F00"/>
    <w:rsid w:val="0099403D"/>
    <w:rsid w:val="00995B0B"/>
    <w:rsid w:val="00997E4E"/>
    <w:rsid w:val="009A1883"/>
    <w:rsid w:val="009A39F5"/>
    <w:rsid w:val="009A4588"/>
    <w:rsid w:val="009A5EA5"/>
    <w:rsid w:val="009B00C2"/>
    <w:rsid w:val="009B051E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70D"/>
    <w:rsid w:val="00A01E10"/>
    <w:rsid w:val="00A02588"/>
    <w:rsid w:val="00A02D81"/>
    <w:rsid w:val="00A02F3B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2CFB"/>
    <w:rsid w:val="00A232E4"/>
    <w:rsid w:val="00A23651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6E0B"/>
    <w:rsid w:val="00B17981"/>
    <w:rsid w:val="00B233BB"/>
    <w:rsid w:val="00B25612"/>
    <w:rsid w:val="00B26437"/>
    <w:rsid w:val="00B2678E"/>
    <w:rsid w:val="00B30647"/>
    <w:rsid w:val="00B31F0E"/>
    <w:rsid w:val="00B34F25"/>
    <w:rsid w:val="00B3624D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0A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0C0"/>
    <w:rsid w:val="00DA3687"/>
    <w:rsid w:val="00DA39F2"/>
    <w:rsid w:val="00DA564B"/>
    <w:rsid w:val="00DA659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7BF"/>
    <w:rsid w:val="00EB3928"/>
    <w:rsid w:val="00EB5373"/>
    <w:rsid w:val="00EB7744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519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27AE1"/>
    <w:rsid w:val="00F307B6"/>
    <w:rsid w:val="00F30EB8"/>
    <w:rsid w:val="00F31876"/>
    <w:rsid w:val="00F31C67"/>
    <w:rsid w:val="00F36161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46B50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9A3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97E6F1-7C33-4469-97E3-DF658F22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A77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7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7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7AF"/>
    <w:rPr>
      <w:b/>
      <w:bCs/>
    </w:rPr>
  </w:style>
  <w:style w:type="paragraph" w:styleId="Revision">
    <w:name w:val="Revision"/>
    <w:hidden/>
    <w:uiPriority w:val="99"/>
    <w:semiHidden/>
    <w:rsid w:val="00344A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3778</Characters>
  <Application>Microsoft Office Word</Application>
  <DocSecurity>4</DocSecurity>
  <Lines>86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HJR00002 (Committee Report (Substituted))</vt:lpstr>
    </vt:vector>
  </TitlesOfParts>
  <Company>State of Texas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21089</dc:subject>
  <dc:creator>State of Texas</dc:creator>
  <dc:description>HJR 2 by Bonnen-(H)Pensions, Investments &amp; Financial Services (Substitute Document Number: 88R 19532)</dc:description>
  <cp:lastModifiedBy>Stacey Nicchio</cp:lastModifiedBy>
  <cp:revision>2</cp:revision>
  <cp:lastPrinted>2003-11-26T17:21:00Z</cp:lastPrinted>
  <dcterms:created xsi:type="dcterms:W3CDTF">2023-04-10T22:45:00Z</dcterms:created>
  <dcterms:modified xsi:type="dcterms:W3CDTF">2023-04-10T22:45:00Z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23.90.587</vt:lpwstr>
  </property>
</Properties>
</file>