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53CB6" w14:paraId="142FE0EE" w14:textId="77777777" w:rsidTr="00345119">
        <w:tc>
          <w:tcPr>
            <w:tcW w:w="9576" w:type="dxa"/>
            <w:noWrap/>
          </w:tcPr>
          <w:p w14:paraId="6B96D32A" w14:textId="77777777" w:rsidR="008423E4" w:rsidRPr="0022177D" w:rsidRDefault="009A2E85" w:rsidP="0012236A">
            <w:pPr>
              <w:pStyle w:val="Heading1"/>
              <w:contextualSpacing/>
            </w:pPr>
            <w:r>
              <w:t>RESOLUTION ANALYSIS</w:t>
            </w:r>
          </w:p>
        </w:tc>
      </w:tr>
    </w:tbl>
    <w:p w14:paraId="0BD4C8E1" w14:textId="77777777" w:rsidR="008423E4" w:rsidRPr="0022177D" w:rsidRDefault="008423E4" w:rsidP="0012236A">
      <w:pPr>
        <w:contextualSpacing/>
        <w:jc w:val="center"/>
      </w:pPr>
    </w:p>
    <w:p w14:paraId="7D2B1EF9" w14:textId="77777777" w:rsidR="008423E4" w:rsidRPr="00B31F0E" w:rsidRDefault="008423E4" w:rsidP="0012236A">
      <w:pPr>
        <w:contextualSpacing/>
      </w:pPr>
    </w:p>
    <w:p w14:paraId="7A504258" w14:textId="77777777" w:rsidR="008423E4" w:rsidRPr="00742794" w:rsidRDefault="008423E4" w:rsidP="0012236A">
      <w:pPr>
        <w:tabs>
          <w:tab w:val="right" w:pos="9360"/>
        </w:tabs>
        <w:contextualSpacing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3CB6" w14:paraId="5F2CA374" w14:textId="77777777" w:rsidTr="00345119">
        <w:tc>
          <w:tcPr>
            <w:tcW w:w="9576" w:type="dxa"/>
          </w:tcPr>
          <w:p w14:paraId="740E2EF7" w14:textId="4D1863E6" w:rsidR="008423E4" w:rsidRPr="00861995" w:rsidRDefault="009A2E85" w:rsidP="0012236A">
            <w:pPr>
              <w:contextualSpacing/>
              <w:jc w:val="right"/>
            </w:pPr>
            <w:r>
              <w:t>H.J.R. 20</w:t>
            </w:r>
          </w:p>
        </w:tc>
      </w:tr>
      <w:tr w:rsidR="00353CB6" w14:paraId="3F07C533" w14:textId="77777777" w:rsidTr="00345119">
        <w:tc>
          <w:tcPr>
            <w:tcW w:w="9576" w:type="dxa"/>
          </w:tcPr>
          <w:p w14:paraId="4E877E5E" w14:textId="0017FC9C" w:rsidR="008423E4" w:rsidRPr="00861995" w:rsidRDefault="009A2E85" w:rsidP="0012236A">
            <w:pPr>
              <w:contextualSpacing/>
              <w:jc w:val="right"/>
            </w:pPr>
            <w:r>
              <w:t xml:space="preserve">By: </w:t>
            </w:r>
            <w:r w:rsidR="00B41E67">
              <w:t>Toth</w:t>
            </w:r>
          </w:p>
        </w:tc>
      </w:tr>
      <w:tr w:rsidR="00353CB6" w14:paraId="2ED73153" w14:textId="77777777" w:rsidTr="00345119">
        <w:tc>
          <w:tcPr>
            <w:tcW w:w="9576" w:type="dxa"/>
          </w:tcPr>
          <w:p w14:paraId="28250255" w14:textId="5654AAC8" w:rsidR="008423E4" w:rsidRPr="00861995" w:rsidRDefault="009A2E85" w:rsidP="0012236A">
            <w:pPr>
              <w:contextualSpacing/>
              <w:jc w:val="right"/>
            </w:pPr>
            <w:r>
              <w:t>Pensions, Investments &amp; Financial Services</w:t>
            </w:r>
          </w:p>
        </w:tc>
      </w:tr>
      <w:tr w:rsidR="00353CB6" w14:paraId="67837527" w14:textId="77777777" w:rsidTr="00345119">
        <w:tc>
          <w:tcPr>
            <w:tcW w:w="9576" w:type="dxa"/>
          </w:tcPr>
          <w:p w14:paraId="108C0AB5" w14:textId="25C24D02" w:rsidR="008423E4" w:rsidRDefault="009A2E85" w:rsidP="0012236A">
            <w:pPr>
              <w:contextualSpacing/>
              <w:jc w:val="right"/>
            </w:pPr>
            <w:r>
              <w:t>Committee Report (Unamended)</w:t>
            </w:r>
          </w:p>
        </w:tc>
      </w:tr>
    </w:tbl>
    <w:p w14:paraId="39324A3C" w14:textId="77777777" w:rsidR="008423E4" w:rsidRDefault="008423E4" w:rsidP="0012236A">
      <w:pPr>
        <w:tabs>
          <w:tab w:val="right" w:pos="9360"/>
        </w:tabs>
        <w:contextualSpacing/>
      </w:pPr>
    </w:p>
    <w:p w14:paraId="5956BD4E" w14:textId="77777777" w:rsidR="008423E4" w:rsidRDefault="008423E4" w:rsidP="0012236A">
      <w:pPr>
        <w:contextualSpacing/>
      </w:pPr>
    </w:p>
    <w:p w14:paraId="6FA94D8C" w14:textId="77777777" w:rsidR="008423E4" w:rsidRDefault="008423E4" w:rsidP="0012236A">
      <w:pPr>
        <w:contextualSpacing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53CB6" w14:paraId="47600123" w14:textId="77777777" w:rsidTr="00345119">
        <w:tc>
          <w:tcPr>
            <w:tcW w:w="9576" w:type="dxa"/>
          </w:tcPr>
          <w:p w14:paraId="4D10E97F" w14:textId="77777777" w:rsidR="008423E4" w:rsidRPr="00A8133F" w:rsidRDefault="009A2E85" w:rsidP="0012236A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DA8DDF" w14:textId="77777777" w:rsidR="008423E4" w:rsidRDefault="008423E4" w:rsidP="0012236A">
            <w:pPr>
              <w:contextualSpacing/>
            </w:pPr>
          </w:p>
          <w:p w14:paraId="321AC820" w14:textId="004FEC99" w:rsidR="003A673E" w:rsidRDefault="009A2E85" w:rsidP="001223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 xml:space="preserve">The Texas Constitution considers a home equity loan to be a valid lien on Texas homestead property, but with many conditions. One of those conditions is that a home equity loan be closed at the office of the lender, an attorney at law, or a title company. </w:t>
            </w:r>
            <w:r>
              <w:t>Further, the Texas Supreme Court has ruled that a power of attorney used for a home equity loan must also be executed in one of those prescribed locations. Constituents concerned by these constraints requested legislation to allow for virtual closings. H.J</w:t>
            </w:r>
            <w:r>
              <w:t>.R.</w:t>
            </w:r>
            <w:r w:rsidR="00157F0E">
              <w:t> </w:t>
            </w:r>
            <w:r>
              <w:t>20 seeks to address this issue by providing for virtual closings for certain borrowers.</w:t>
            </w:r>
          </w:p>
          <w:p w14:paraId="0AE3271C" w14:textId="77777777" w:rsidR="008423E4" w:rsidRPr="00E26B13" w:rsidRDefault="008423E4" w:rsidP="0012236A">
            <w:pPr>
              <w:contextualSpacing/>
              <w:rPr>
                <w:b/>
              </w:rPr>
            </w:pPr>
          </w:p>
        </w:tc>
      </w:tr>
      <w:tr w:rsidR="00353CB6" w14:paraId="69A92D0D" w14:textId="77777777" w:rsidTr="00345119">
        <w:tc>
          <w:tcPr>
            <w:tcW w:w="9576" w:type="dxa"/>
          </w:tcPr>
          <w:p w14:paraId="49187CBF" w14:textId="77777777" w:rsidR="0017725B" w:rsidRDefault="009A2E85" w:rsidP="0012236A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768DD8" w14:textId="77777777" w:rsidR="0017725B" w:rsidRDefault="0017725B" w:rsidP="0012236A">
            <w:pPr>
              <w:contextualSpacing/>
              <w:rPr>
                <w:b/>
                <w:u w:val="single"/>
              </w:rPr>
            </w:pPr>
          </w:p>
          <w:p w14:paraId="54DCB150" w14:textId="33C72552" w:rsidR="008563A1" w:rsidRPr="008563A1" w:rsidRDefault="009A2E85" w:rsidP="0012236A">
            <w:pPr>
              <w:contextualSpacing/>
              <w:jc w:val="both"/>
            </w:pPr>
            <w:r>
              <w:t xml:space="preserve">It is the committee's opinion that this resolution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28268AD7" w14:textId="77777777" w:rsidR="0017725B" w:rsidRPr="0017725B" w:rsidRDefault="0017725B" w:rsidP="0012236A">
            <w:pPr>
              <w:contextualSpacing/>
              <w:rPr>
                <w:b/>
                <w:u w:val="single"/>
              </w:rPr>
            </w:pPr>
          </w:p>
        </w:tc>
      </w:tr>
      <w:tr w:rsidR="00353CB6" w14:paraId="2CE2B8A7" w14:textId="77777777" w:rsidTr="00345119">
        <w:tc>
          <w:tcPr>
            <w:tcW w:w="9576" w:type="dxa"/>
          </w:tcPr>
          <w:p w14:paraId="1A32287D" w14:textId="77777777" w:rsidR="008423E4" w:rsidRPr="00A8133F" w:rsidRDefault="009A2E85" w:rsidP="0012236A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147F1F2" w14:textId="77777777" w:rsidR="008423E4" w:rsidRDefault="008423E4" w:rsidP="0012236A">
            <w:pPr>
              <w:contextualSpacing/>
            </w:pPr>
          </w:p>
          <w:p w14:paraId="0581CFB0" w14:textId="75A7675C" w:rsidR="008563A1" w:rsidRDefault="009A2E85" w:rsidP="001223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It is the committee's opinion that this resolution does not expressly grant any additional</w:t>
            </w:r>
            <w:r>
              <w:t xml:space="preserve"> rulemaking authority to a state officer, department, agency, or institution.</w:t>
            </w:r>
          </w:p>
          <w:p w14:paraId="3CD0AF52" w14:textId="77777777" w:rsidR="008423E4" w:rsidRPr="00E21FDC" w:rsidRDefault="008423E4" w:rsidP="0012236A">
            <w:pPr>
              <w:contextualSpacing/>
              <w:rPr>
                <w:b/>
              </w:rPr>
            </w:pPr>
          </w:p>
        </w:tc>
      </w:tr>
      <w:tr w:rsidR="00353CB6" w14:paraId="0E973267" w14:textId="77777777" w:rsidTr="00345119">
        <w:tc>
          <w:tcPr>
            <w:tcW w:w="9576" w:type="dxa"/>
          </w:tcPr>
          <w:p w14:paraId="10D2ACAC" w14:textId="77777777" w:rsidR="008423E4" w:rsidRPr="00A8133F" w:rsidRDefault="009A2E85" w:rsidP="0012236A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36F954" w14:textId="77777777" w:rsidR="008423E4" w:rsidRDefault="008423E4" w:rsidP="0012236A">
            <w:pPr>
              <w:contextualSpacing/>
            </w:pPr>
          </w:p>
          <w:p w14:paraId="41080A38" w14:textId="2E8484EB" w:rsidR="009C36CD" w:rsidRPr="009C36CD" w:rsidRDefault="009A2E85" w:rsidP="001223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 w:rsidRPr="008563A1">
              <w:t xml:space="preserve">H.J.R. </w:t>
            </w:r>
            <w:r>
              <w:t>20</w:t>
            </w:r>
            <w:r w:rsidRPr="008563A1">
              <w:t xml:space="preserve"> proposes an amendment to the Texas Constitution to </w:t>
            </w:r>
            <w:r w:rsidR="00A606C5">
              <w:t>allow for</w:t>
            </w:r>
            <w:r w:rsidR="00A606C5" w:rsidRPr="008563A1">
              <w:t xml:space="preserve"> </w:t>
            </w:r>
            <w:r w:rsidR="00A606C5">
              <w:t xml:space="preserve">the enactment of statutes </w:t>
            </w:r>
            <w:r w:rsidR="00C13023">
              <w:t>that provide</w:t>
            </w:r>
            <w:r w:rsidR="00A606C5">
              <w:t xml:space="preserve"> </w:t>
            </w:r>
            <w:r w:rsidRPr="008563A1">
              <w:t xml:space="preserve">an exception </w:t>
            </w:r>
            <w:r w:rsidR="00A606C5">
              <w:t>to</w:t>
            </w:r>
            <w:r w:rsidRPr="008563A1">
              <w:t xml:space="preserve"> the constitutional</w:t>
            </w:r>
            <w:r w:rsidRPr="008563A1">
              <w:t xml:space="preserve"> requirement for </w:t>
            </w:r>
            <w:r w:rsidR="00A606C5">
              <w:t>a home equity</w:t>
            </w:r>
            <w:r w:rsidR="00A606C5" w:rsidRPr="008563A1">
              <w:t xml:space="preserve"> </w:t>
            </w:r>
            <w:r w:rsidRPr="008563A1">
              <w:t>loan to be closed at the office of the lender, an attorney at law, or a title company.</w:t>
            </w:r>
          </w:p>
          <w:p w14:paraId="6C7CE62D" w14:textId="77777777" w:rsidR="008423E4" w:rsidRPr="00835628" w:rsidRDefault="008423E4" w:rsidP="0012236A">
            <w:pPr>
              <w:contextualSpacing/>
              <w:rPr>
                <w:b/>
              </w:rPr>
            </w:pPr>
          </w:p>
        </w:tc>
      </w:tr>
      <w:tr w:rsidR="00353CB6" w14:paraId="2A53D7EE" w14:textId="77777777" w:rsidTr="00345119">
        <w:tc>
          <w:tcPr>
            <w:tcW w:w="9576" w:type="dxa"/>
          </w:tcPr>
          <w:p w14:paraId="59755C2E" w14:textId="77777777" w:rsidR="008423E4" w:rsidRPr="00A8133F" w:rsidRDefault="009A2E85" w:rsidP="0012236A">
            <w:pPr>
              <w:contextualSpacing/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065E247C" w14:textId="77777777" w:rsidR="008423E4" w:rsidRDefault="008423E4" w:rsidP="0012236A">
            <w:pPr>
              <w:contextualSpacing/>
            </w:pPr>
          </w:p>
          <w:p w14:paraId="64AA5F5E" w14:textId="5F01A0A0" w:rsidR="008423E4" w:rsidRPr="003624F2" w:rsidRDefault="009A2E85" w:rsidP="001223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The constitutional amendment proposed by this joint resolution will be submitted to the voters at an election to be held</w:t>
            </w:r>
            <w:r>
              <w:t xml:space="preserve"> November 7, 2023.</w:t>
            </w:r>
          </w:p>
          <w:p w14:paraId="77198D6F" w14:textId="77777777" w:rsidR="008423E4" w:rsidRPr="00233FDB" w:rsidRDefault="008423E4" w:rsidP="0012236A">
            <w:pPr>
              <w:contextualSpacing/>
              <w:rPr>
                <w:b/>
              </w:rPr>
            </w:pPr>
          </w:p>
        </w:tc>
      </w:tr>
    </w:tbl>
    <w:p w14:paraId="6D8FA1FF" w14:textId="77777777" w:rsidR="008423E4" w:rsidRPr="00BE0E75" w:rsidRDefault="008423E4" w:rsidP="0012236A">
      <w:pPr>
        <w:contextualSpacing/>
        <w:jc w:val="both"/>
        <w:rPr>
          <w:rFonts w:ascii="Arial" w:hAnsi="Arial"/>
          <w:sz w:val="16"/>
          <w:szCs w:val="16"/>
        </w:rPr>
      </w:pPr>
    </w:p>
    <w:p w14:paraId="3A4699FD" w14:textId="77777777" w:rsidR="004108C3" w:rsidRPr="008423E4" w:rsidRDefault="004108C3" w:rsidP="0012236A">
      <w:pPr>
        <w:contextualSpacing/>
      </w:pPr>
    </w:p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210B" w14:textId="77777777" w:rsidR="00000000" w:rsidRDefault="009A2E85">
      <w:r>
        <w:separator/>
      </w:r>
    </w:p>
  </w:endnote>
  <w:endnote w:type="continuationSeparator" w:id="0">
    <w:p w14:paraId="0F1BE307" w14:textId="77777777" w:rsidR="00000000" w:rsidRDefault="009A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729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3CB6" w14:paraId="3B1AF2F2" w14:textId="77777777" w:rsidTr="009C1E9A">
      <w:trPr>
        <w:cantSplit/>
      </w:trPr>
      <w:tc>
        <w:tcPr>
          <w:tcW w:w="0" w:type="pct"/>
        </w:tcPr>
        <w:p w14:paraId="27F207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28C8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A594E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4EB9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28FA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3CB6" w14:paraId="14A88110" w14:textId="77777777" w:rsidTr="009C1E9A">
      <w:trPr>
        <w:cantSplit/>
      </w:trPr>
      <w:tc>
        <w:tcPr>
          <w:tcW w:w="0" w:type="pct"/>
        </w:tcPr>
        <w:p w14:paraId="13E70A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802485" w14:textId="61E62BED" w:rsidR="00EC379B" w:rsidRPr="009C1E9A" w:rsidRDefault="009A2E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20675-D</w:t>
          </w:r>
        </w:p>
      </w:tc>
      <w:tc>
        <w:tcPr>
          <w:tcW w:w="2453" w:type="pct"/>
        </w:tcPr>
        <w:p w14:paraId="4C05C6CD" w14:textId="15346753" w:rsidR="00EC379B" w:rsidRDefault="009A2E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3296">
            <w:t>23.86.2256</w:t>
          </w:r>
          <w:r>
            <w:fldChar w:fldCharType="end"/>
          </w:r>
        </w:p>
      </w:tc>
    </w:tr>
    <w:tr w:rsidR="00353CB6" w14:paraId="15F41C22" w14:textId="77777777" w:rsidTr="009C1E9A">
      <w:trPr>
        <w:cantSplit/>
      </w:trPr>
      <w:tc>
        <w:tcPr>
          <w:tcW w:w="0" w:type="pct"/>
        </w:tcPr>
        <w:p w14:paraId="1F6C0D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4C7E9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4A15F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CDA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3CB6" w14:paraId="57B7F0B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E8119A" w14:textId="77777777" w:rsidR="00EC379B" w:rsidRDefault="009A2E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F825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9A789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22B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15C6" w14:textId="77777777" w:rsidR="00000000" w:rsidRDefault="009A2E85">
      <w:r>
        <w:separator/>
      </w:r>
    </w:p>
  </w:footnote>
  <w:footnote w:type="continuationSeparator" w:id="0">
    <w:p w14:paraId="099F004F" w14:textId="77777777" w:rsidR="00000000" w:rsidRDefault="009A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C8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FB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65F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89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FC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36A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F0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14D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08C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92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E18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40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CB6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73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46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4A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921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9F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29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800"/>
    <w:rsid w:val="008531A1"/>
    <w:rsid w:val="00853A94"/>
    <w:rsid w:val="008547A3"/>
    <w:rsid w:val="008563A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E69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EB7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E85"/>
    <w:rsid w:val="009A39F5"/>
    <w:rsid w:val="009A4588"/>
    <w:rsid w:val="009A5EA5"/>
    <w:rsid w:val="009B00C2"/>
    <w:rsid w:val="009B26AB"/>
    <w:rsid w:val="009B30E5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9F6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6C5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E6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223"/>
    <w:rsid w:val="00C0499B"/>
    <w:rsid w:val="00C05406"/>
    <w:rsid w:val="00C05CF0"/>
    <w:rsid w:val="00C119AC"/>
    <w:rsid w:val="00C1302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0F5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331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81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051"/>
    <w:rsid w:val="00E43263"/>
    <w:rsid w:val="00E438AE"/>
    <w:rsid w:val="00E443CE"/>
    <w:rsid w:val="00E44F84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F4F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21E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5827A8-D3A2-4C7A-B12B-DE9EEA1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63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6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63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6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63A1"/>
    <w:rPr>
      <w:b/>
      <w:bCs/>
    </w:rPr>
  </w:style>
  <w:style w:type="paragraph" w:styleId="Revision">
    <w:name w:val="Revision"/>
    <w:hidden/>
    <w:uiPriority w:val="99"/>
    <w:semiHidden/>
    <w:rsid w:val="00D8681E"/>
    <w:rPr>
      <w:sz w:val="24"/>
      <w:szCs w:val="24"/>
    </w:rPr>
  </w:style>
  <w:style w:type="character" w:styleId="Hyperlink">
    <w:name w:val="Hyperlink"/>
    <w:basedOn w:val="DefaultParagraphFont"/>
    <w:unhideWhenUsed/>
    <w:rsid w:val="00D8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1392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HJR00020 (Committee Report (Unamended))</vt:lpstr>
    </vt:vector>
  </TitlesOfParts>
  <Company>State of Texas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20675</dc:subject>
  <dc:creator>State of Texas</dc:creator>
  <dc:description>HJR 20 by Toth-(H)Pensions, Investments &amp; Financial Services</dc:description>
  <cp:lastModifiedBy>Stacey Nicchio</cp:lastModifiedBy>
  <cp:revision>2</cp:revision>
  <cp:lastPrinted>2003-11-26T17:21:00Z</cp:lastPrinted>
  <dcterms:created xsi:type="dcterms:W3CDTF">2023-03-30T19:41:00Z</dcterms:created>
  <dcterms:modified xsi:type="dcterms:W3CDTF">2023-03-30T19:41:00Z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23.86.2256</vt:lpwstr>
  </property>
</Properties>
</file>