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964FA" w14:paraId="49BEBF04" w14:textId="77777777" w:rsidTr="00345119">
        <w:tc>
          <w:tcPr>
            <w:tcW w:w="9576" w:type="dxa"/>
            <w:noWrap/>
          </w:tcPr>
          <w:p w14:paraId="5D275A44" w14:textId="77777777" w:rsidR="008423E4" w:rsidRPr="0022177D" w:rsidRDefault="009B70B9" w:rsidP="006556E4">
            <w:pPr>
              <w:pStyle w:val="Heading1"/>
            </w:pPr>
            <w:r>
              <w:t>RESOLUTION ANALYSIS</w:t>
            </w:r>
          </w:p>
        </w:tc>
      </w:tr>
    </w:tbl>
    <w:p w14:paraId="35B2CDE7" w14:textId="77777777" w:rsidR="008423E4" w:rsidRPr="0022177D" w:rsidRDefault="008423E4" w:rsidP="006556E4">
      <w:pPr>
        <w:jc w:val="center"/>
      </w:pPr>
    </w:p>
    <w:p w14:paraId="2791DB67" w14:textId="77777777" w:rsidR="008423E4" w:rsidRPr="00B31F0E" w:rsidRDefault="008423E4" w:rsidP="006556E4"/>
    <w:p w14:paraId="219AD902" w14:textId="77777777" w:rsidR="008423E4" w:rsidRPr="00742794" w:rsidRDefault="008423E4" w:rsidP="006556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964FA" w14:paraId="7C0F3599" w14:textId="77777777" w:rsidTr="00345119">
        <w:tc>
          <w:tcPr>
            <w:tcW w:w="9576" w:type="dxa"/>
          </w:tcPr>
          <w:p w14:paraId="4C83EC5B" w14:textId="4FEB3211" w:rsidR="008423E4" w:rsidRPr="00861995" w:rsidRDefault="009B70B9" w:rsidP="006556E4">
            <w:pPr>
              <w:jc w:val="right"/>
            </w:pPr>
            <w:r>
              <w:t>C.S.H.J.R. 125</w:t>
            </w:r>
          </w:p>
        </w:tc>
      </w:tr>
      <w:tr w:rsidR="005964FA" w14:paraId="7849D46B" w14:textId="77777777" w:rsidTr="00345119">
        <w:tc>
          <w:tcPr>
            <w:tcW w:w="9576" w:type="dxa"/>
          </w:tcPr>
          <w:p w14:paraId="6E8826EA" w14:textId="6B00D8FF" w:rsidR="008423E4" w:rsidRPr="00861995" w:rsidRDefault="009B70B9" w:rsidP="006556E4">
            <w:pPr>
              <w:jc w:val="right"/>
            </w:pPr>
            <w:r>
              <w:t xml:space="preserve">By: </w:t>
            </w:r>
            <w:r w:rsidR="004642DF">
              <w:t>Ashby</w:t>
            </w:r>
          </w:p>
        </w:tc>
      </w:tr>
      <w:tr w:rsidR="005964FA" w14:paraId="6150FBF6" w14:textId="77777777" w:rsidTr="00345119">
        <w:tc>
          <w:tcPr>
            <w:tcW w:w="9576" w:type="dxa"/>
          </w:tcPr>
          <w:p w14:paraId="4366FEFD" w14:textId="392AD253" w:rsidR="008423E4" w:rsidRPr="00861995" w:rsidRDefault="009B70B9" w:rsidP="006556E4">
            <w:pPr>
              <w:jc w:val="right"/>
            </w:pPr>
            <w:r>
              <w:t>State Affairs</w:t>
            </w:r>
          </w:p>
        </w:tc>
      </w:tr>
      <w:tr w:rsidR="005964FA" w14:paraId="564BD8BE" w14:textId="77777777" w:rsidTr="00345119">
        <w:tc>
          <w:tcPr>
            <w:tcW w:w="9576" w:type="dxa"/>
          </w:tcPr>
          <w:p w14:paraId="7ADEF437" w14:textId="09407717" w:rsidR="008423E4" w:rsidRDefault="009B70B9" w:rsidP="006556E4">
            <w:pPr>
              <w:jc w:val="right"/>
            </w:pPr>
            <w:r>
              <w:t>Committee Report (Substituted)</w:t>
            </w:r>
          </w:p>
        </w:tc>
      </w:tr>
    </w:tbl>
    <w:p w14:paraId="36C6C71E" w14:textId="77777777" w:rsidR="008423E4" w:rsidRDefault="008423E4" w:rsidP="006556E4">
      <w:pPr>
        <w:tabs>
          <w:tab w:val="right" w:pos="9360"/>
        </w:tabs>
      </w:pPr>
    </w:p>
    <w:p w14:paraId="02D1986D" w14:textId="77777777" w:rsidR="008423E4" w:rsidRDefault="008423E4" w:rsidP="006556E4"/>
    <w:p w14:paraId="3DD14EDC" w14:textId="77777777" w:rsidR="008423E4" w:rsidRDefault="008423E4" w:rsidP="006556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964FA" w14:paraId="4FCD6CC7" w14:textId="77777777" w:rsidTr="006556E4">
        <w:tc>
          <w:tcPr>
            <w:tcW w:w="9360" w:type="dxa"/>
          </w:tcPr>
          <w:p w14:paraId="21CB2FC8" w14:textId="77777777" w:rsidR="008423E4" w:rsidRPr="00A8133F" w:rsidRDefault="009B70B9" w:rsidP="006556E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AF4DEAE" w14:textId="77777777" w:rsidR="008423E4" w:rsidRDefault="008423E4" w:rsidP="006556E4"/>
          <w:p w14:paraId="6F0F7693" w14:textId="0908B7BA" w:rsidR="008423E4" w:rsidRDefault="009B70B9" w:rsidP="006556E4">
            <w:pPr>
              <w:pStyle w:val="Header"/>
              <w:jc w:val="both"/>
            </w:pPr>
            <w:r w:rsidRPr="00C50590">
              <w:t xml:space="preserve">According to recent studies conducted by the </w:t>
            </w:r>
            <w:r>
              <w:t>state b</w:t>
            </w:r>
            <w:r w:rsidRPr="00C50590">
              <w:t xml:space="preserve">roadband </w:t>
            </w:r>
            <w:r>
              <w:t>d</w:t>
            </w:r>
            <w:r w:rsidRPr="00C50590">
              <w:t xml:space="preserve">evelopment </w:t>
            </w:r>
            <w:r>
              <w:t>o</w:t>
            </w:r>
            <w:r w:rsidRPr="00C50590">
              <w:t>ffice, almost 2.</w:t>
            </w:r>
            <w:r w:rsidR="003170E3" w:rsidRPr="00C50590">
              <w:t>8</w:t>
            </w:r>
            <w:r w:rsidR="003170E3">
              <w:t> </w:t>
            </w:r>
            <w:r w:rsidRPr="00C50590">
              <w:t xml:space="preserve">million Texas households, or </w:t>
            </w:r>
            <w:r w:rsidRPr="00C50590">
              <w:t>roughly seven million Texans</w:t>
            </w:r>
            <w:r>
              <w:t>,</w:t>
            </w:r>
            <w:r w:rsidRPr="00C50590">
              <w:t xml:space="preserve"> lack broadband </w:t>
            </w:r>
            <w:r>
              <w:t xml:space="preserve">Internet </w:t>
            </w:r>
            <w:r w:rsidRPr="00C50590">
              <w:t xml:space="preserve">access. </w:t>
            </w:r>
            <w:r>
              <w:t>This means that nearly a quarter</w:t>
            </w:r>
            <w:r w:rsidRPr="00C50590">
              <w:t xml:space="preserve"> of Texans </w:t>
            </w:r>
            <w:r>
              <w:t>do not have the quality of Internet access necessary</w:t>
            </w:r>
            <w:r w:rsidRPr="00C50590">
              <w:t xml:space="preserve"> to attend online classes, see a healthcare provider from their living room, complete a</w:t>
            </w:r>
            <w:r>
              <w:t>n</w:t>
            </w:r>
            <w:r w:rsidRPr="00C50590">
              <w:t xml:space="preserve"> online job</w:t>
            </w:r>
            <w:r w:rsidRPr="00C50590">
              <w:t xml:space="preserve"> application, start a business online, or access digital marketplaces from their kitchen table. These barriers negatively affect </w:t>
            </w:r>
            <w:r w:rsidR="003170E3" w:rsidRPr="00C50590">
              <w:t>Texans</w:t>
            </w:r>
            <w:r w:rsidR="003170E3">
              <w:t>'</w:t>
            </w:r>
            <w:r w:rsidR="003170E3" w:rsidRPr="00C50590">
              <w:t xml:space="preserve"> </w:t>
            </w:r>
            <w:r w:rsidRPr="00C50590">
              <w:t xml:space="preserve">quality of life and limit economic opportunities for the people of Texas and the state overall. </w:t>
            </w:r>
            <w:r w:rsidR="00461AA3" w:rsidRPr="00461AA3">
              <w:t>Given the ever-increasing demand for access to the internet, both in Texas and across the world, C</w:t>
            </w:r>
            <w:r>
              <w:t>.</w:t>
            </w:r>
            <w:r w:rsidR="00461AA3" w:rsidRPr="00461AA3">
              <w:t>S</w:t>
            </w:r>
            <w:r>
              <w:t>.</w:t>
            </w:r>
            <w:r w:rsidR="00461AA3" w:rsidRPr="00461AA3">
              <w:t>H</w:t>
            </w:r>
            <w:r>
              <w:t>.</w:t>
            </w:r>
            <w:r w:rsidR="00461AA3" w:rsidRPr="00461AA3">
              <w:t>J</w:t>
            </w:r>
            <w:r>
              <w:t>.</w:t>
            </w:r>
            <w:r w:rsidR="00461AA3" w:rsidRPr="00461AA3">
              <w:t>R</w:t>
            </w:r>
            <w:r>
              <w:t>.</w:t>
            </w:r>
            <w:r w:rsidR="00461AA3" w:rsidRPr="00461AA3">
              <w:t xml:space="preserve"> 125 proposes a constitutional amendment</w:t>
            </w:r>
            <w:r>
              <w:t xml:space="preserve"> to</w:t>
            </w:r>
            <w:r w:rsidR="00461AA3" w:rsidRPr="00461AA3">
              <w:t xml:space="preserve"> creat</w:t>
            </w:r>
            <w:r>
              <w:t>e</w:t>
            </w:r>
            <w:r w:rsidR="00461AA3" w:rsidRPr="00461AA3">
              <w:t xml:space="preserve"> the </w:t>
            </w:r>
            <w:r>
              <w:t>b</w:t>
            </w:r>
            <w:r w:rsidR="00461AA3" w:rsidRPr="00461AA3">
              <w:t xml:space="preserve">roadband </w:t>
            </w:r>
            <w:r>
              <w:t>i</w:t>
            </w:r>
            <w:r w:rsidR="00461AA3" w:rsidRPr="00461AA3">
              <w:t xml:space="preserve">nfrastructure </w:t>
            </w:r>
            <w:r>
              <w:t>f</w:t>
            </w:r>
            <w:r w:rsidR="00461AA3" w:rsidRPr="00461AA3">
              <w:t xml:space="preserve">und to assist in the financing of broadband and telecommunications services projects. </w:t>
            </w:r>
          </w:p>
          <w:p w14:paraId="3F44DC8A" w14:textId="77777777" w:rsidR="008423E4" w:rsidRPr="00E26B13" w:rsidRDefault="008423E4" w:rsidP="006556E4">
            <w:pPr>
              <w:rPr>
                <w:b/>
              </w:rPr>
            </w:pPr>
          </w:p>
        </w:tc>
      </w:tr>
      <w:tr w:rsidR="005964FA" w14:paraId="05A01796" w14:textId="77777777" w:rsidTr="006556E4">
        <w:tc>
          <w:tcPr>
            <w:tcW w:w="9360" w:type="dxa"/>
          </w:tcPr>
          <w:p w14:paraId="16D2F58C" w14:textId="77777777" w:rsidR="0017725B" w:rsidRDefault="009B70B9" w:rsidP="006556E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622BAE0" w14:textId="77777777" w:rsidR="0017725B" w:rsidRDefault="0017725B" w:rsidP="006556E4">
            <w:pPr>
              <w:rPr>
                <w:b/>
                <w:u w:val="single"/>
              </w:rPr>
            </w:pPr>
          </w:p>
          <w:p w14:paraId="14B664D1" w14:textId="3446756D" w:rsidR="00AA2800" w:rsidRPr="00AA2800" w:rsidRDefault="009B70B9" w:rsidP="006556E4">
            <w:pPr>
              <w:jc w:val="both"/>
            </w:pPr>
            <w:r>
              <w:t xml:space="preserve">It is the committee's opinion that this resolution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14:paraId="4808688F" w14:textId="77777777" w:rsidR="0017725B" w:rsidRPr="0017725B" w:rsidRDefault="0017725B" w:rsidP="006556E4">
            <w:pPr>
              <w:rPr>
                <w:b/>
                <w:u w:val="single"/>
              </w:rPr>
            </w:pPr>
          </w:p>
        </w:tc>
      </w:tr>
      <w:tr w:rsidR="005964FA" w14:paraId="0CFA1949" w14:textId="77777777" w:rsidTr="006556E4">
        <w:tc>
          <w:tcPr>
            <w:tcW w:w="9360" w:type="dxa"/>
          </w:tcPr>
          <w:p w14:paraId="69B57C9A" w14:textId="77777777" w:rsidR="008423E4" w:rsidRPr="00A8133F" w:rsidRDefault="009B70B9" w:rsidP="006556E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27A191A" w14:textId="77777777" w:rsidR="008423E4" w:rsidRDefault="008423E4" w:rsidP="006556E4"/>
          <w:p w14:paraId="26BF80A9" w14:textId="1BB787B2" w:rsidR="00AA2800" w:rsidRDefault="009B70B9" w:rsidP="006556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resolution does not expressly grant any additional rulemaking authority to a state officer, department, agency, or institution.</w:t>
            </w:r>
          </w:p>
          <w:p w14:paraId="1DF2F6FD" w14:textId="77777777" w:rsidR="008423E4" w:rsidRPr="00E21FDC" w:rsidRDefault="008423E4" w:rsidP="006556E4">
            <w:pPr>
              <w:rPr>
                <w:b/>
              </w:rPr>
            </w:pPr>
          </w:p>
        </w:tc>
      </w:tr>
      <w:tr w:rsidR="005964FA" w14:paraId="4D158B32" w14:textId="77777777" w:rsidTr="006556E4">
        <w:tc>
          <w:tcPr>
            <w:tcW w:w="9360" w:type="dxa"/>
          </w:tcPr>
          <w:p w14:paraId="71A8C308" w14:textId="77777777" w:rsidR="008423E4" w:rsidRPr="00A8133F" w:rsidRDefault="009B70B9" w:rsidP="006556E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24F0EFA" w14:textId="77777777" w:rsidR="008423E4" w:rsidRDefault="008423E4" w:rsidP="006556E4"/>
          <w:p w14:paraId="3E748741" w14:textId="3A03CA41" w:rsidR="00CF1793" w:rsidRDefault="009B70B9" w:rsidP="006556E4">
            <w:pPr>
              <w:pStyle w:val="Header"/>
              <w:jc w:val="both"/>
            </w:pPr>
            <w:r>
              <w:t>C.S.</w:t>
            </w:r>
            <w:r w:rsidR="00644F5B">
              <w:t xml:space="preserve">H.J.R. 125 proposes an amendment to the Texas Constitution to create the </w:t>
            </w:r>
            <w:r w:rsidR="00644F5B" w:rsidRPr="00644F5B">
              <w:t>broadband infrastructure fund</w:t>
            </w:r>
            <w:r w:rsidR="00626638">
              <w:t xml:space="preserve"> </w:t>
            </w:r>
            <w:r w:rsidR="00626638" w:rsidRPr="00626638">
              <w:t>as a special fund in the state treasury outside the general revenue fund.</w:t>
            </w:r>
            <w:r w:rsidR="00626638">
              <w:t xml:space="preserve"> </w:t>
            </w:r>
            <w:r>
              <w:t>The resolution establishes that the fund consists of the followi</w:t>
            </w:r>
            <w:r>
              <w:t>ng:</w:t>
            </w:r>
          </w:p>
          <w:p w14:paraId="2EF6F197" w14:textId="75B2C18A" w:rsidR="00CF1793" w:rsidRDefault="009B70B9" w:rsidP="006556E4">
            <w:pPr>
              <w:pStyle w:val="Header"/>
              <w:numPr>
                <w:ilvl w:val="0"/>
                <w:numId w:val="2"/>
              </w:numPr>
              <w:jc w:val="both"/>
            </w:pPr>
            <w:r>
              <w:t>appropriations from the legislature for deposit to the credit of the fund;</w:t>
            </w:r>
          </w:p>
          <w:p w14:paraId="529EF2B7" w14:textId="3E72E812" w:rsidR="00CF1793" w:rsidRDefault="009B70B9" w:rsidP="006556E4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money transferred or deposited to the credit of the fund by </w:t>
            </w:r>
            <w:r w:rsidR="004C27E5">
              <w:t>the</w:t>
            </w:r>
            <w:r>
              <w:t xml:space="preserve"> constitution or by general law;</w:t>
            </w:r>
          </w:p>
          <w:p w14:paraId="0844F391" w14:textId="78973B41" w:rsidR="00CF1793" w:rsidRDefault="009B70B9" w:rsidP="006556E4">
            <w:pPr>
              <w:pStyle w:val="Header"/>
              <w:numPr>
                <w:ilvl w:val="0"/>
                <w:numId w:val="2"/>
              </w:numPr>
              <w:jc w:val="both"/>
            </w:pPr>
            <w:r>
              <w:t>revenue that the legislature by general law dedicates for deposit to the credit o</w:t>
            </w:r>
            <w:r>
              <w:t>f the fund;</w:t>
            </w:r>
          </w:p>
          <w:p w14:paraId="714A6D92" w14:textId="5CC92579" w:rsidR="00CF1793" w:rsidRDefault="009B70B9" w:rsidP="006556E4">
            <w:pPr>
              <w:pStyle w:val="Header"/>
              <w:numPr>
                <w:ilvl w:val="0"/>
                <w:numId w:val="2"/>
              </w:numPr>
              <w:jc w:val="both"/>
            </w:pPr>
            <w:r>
              <w:t>investment earnings and interest earned on money in the fund; and</w:t>
            </w:r>
          </w:p>
          <w:p w14:paraId="0579D843" w14:textId="2BAF6C59" w:rsidR="00CF1793" w:rsidRDefault="009B70B9" w:rsidP="006556E4">
            <w:pPr>
              <w:pStyle w:val="Header"/>
              <w:numPr>
                <w:ilvl w:val="0"/>
                <w:numId w:val="2"/>
              </w:numPr>
              <w:jc w:val="both"/>
            </w:pPr>
            <w:r>
              <w:t>gifts, grants, and donations to the fund.</w:t>
            </w:r>
          </w:p>
          <w:p w14:paraId="499DE12D" w14:textId="593DC6D1" w:rsidR="008D0C3A" w:rsidRDefault="008D0C3A" w:rsidP="006556E4">
            <w:pPr>
              <w:pStyle w:val="Header"/>
              <w:jc w:val="both"/>
            </w:pPr>
          </w:p>
          <w:p w14:paraId="4524E80E" w14:textId="2E34609D" w:rsidR="00B24B72" w:rsidRDefault="009B70B9" w:rsidP="006556E4">
            <w:pPr>
              <w:pStyle w:val="Header"/>
              <w:jc w:val="both"/>
            </w:pPr>
            <w:r>
              <w:t xml:space="preserve">C.S.H.J.R. 125 </w:t>
            </w:r>
            <w:r w:rsidR="00626638">
              <w:t xml:space="preserve">requires the fund </w:t>
            </w:r>
            <w:r w:rsidR="00945E40">
              <w:t xml:space="preserve">to </w:t>
            </w:r>
            <w:r w:rsidR="00B2240A" w:rsidRPr="00B2240A">
              <w:t>be administered by the comptroller</w:t>
            </w:r>
            <w:r w:rsidR="00B2240A">
              <w:t xml:space="preserve"> of public accounts</w:t>
            </w:r>
            <w:r w:rsidR="00B2240A" w:rsidRPr="00B2240A">
              <w:t xml:space="preserve"> </w:t>
            </w:r>
            <w:r w:rsidR="00CF1793">
              <w:t xml:space="preserve">and authorizes the fund to be used, without further appropriation, </w:t>
            </w:r>
            <w:r w:rsidR="00856D53">
              <w:t xml:space="preserve">only </w:t>
            </w:r>
            <w:r w:rsidR="00CF1793" w:rsidRPr="00CF1793">
              <w:t>for the expansion of access to and adoption of broadband and telecommunications services, including</w:t>
            </w:r>
            <w:r w:rsidR="000F1C11">
              <w:t xml:space="preserve"> the following:</w:t>
            </w:r>
          </w:p>
          <w:p w14:paraId="3D9E7B50" w14:textId="6B43A0FC" w:rsidR="00B24B72" w:rsidRDefault="009B70B9" w:rsidP="006556E4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the </w:t>
            </w:r>
            <w:r w:rsidR="00B2240A" w:rsidRPr="00B2240A">
              <w:t>development</w:t>
            </w:r>
            <w:r w:rsidR="000F1C11">
              <w:t xml:space="preserve">, </w:t>
            </w:r>
            <w:r w:rsidR="00B2240A" w:rsidRPr="00B2240A">
              <w:t>construction, reconstruction, and expansion of broadband and telecommunications infrastructure or services</w:t>
            </w:r>
            <w:r>
              <w:t>;</w:t>
            </w:r>
          </w:p>
          <w:p w14:paraId="7D1976E7" w14:textId="068ACF3B" w:rsidR="00B24B72" w:rsidRDefault="009B70B9" w:rsidP="006556E4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the </w:t>
            </w:r>
            <w:r w:rsidR="00B2240A" w:rsidRPr="00B2240A">
              <w:t>operation of broadband and telecommunications infrastructure</w:t>
            </w:r>
            <w:r>
              <w:t>;</w:t>
            </w:r>
          </w:p>
          <w:p w14:paraId="75C9D0CB" w14:textId="56093853" w:rsidR="00374C5F" w:rsidRDefault="009B70B9" w:rsidP="006556E4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the </w:t>
            </w:r>
            <w:r w:rsidR="00B2240A" w:rsidRPr="00B2240A">
              <w:t xml:space="preserve">provision of broadband and telecommunications services, </w:t>
            </w:r>
            <w:r>
              <w:t xml:space="preserve">including services authorized by general law to be funded by the </w:t>
            </w:r>
            <w:r w:rsidR="004C27E5">
              <w:t>Texas U</w:t>
            </w:r>
            <w:r>
              <w:t xml:space="preserve">niversal </w:t>
            </w:r>
            <w:r w:rsidR="004C27E5">
              <w:t>S</w:t>
            </w:r>
            <w:r>
              <w:t xml:space="preserve">ervice </w:t>
            </w:r>
            <w:r w:rsidR="004C27E5">
              <w:t>F</w:t>
            </w:r>
            <w:r>
              <w:t>und; and</w:t>
            </w:r>
          </w:p>
          <w:p w14:paraId="531E20A4" w14:textId="59151033" w:rsidR="00B24B72" w:rsidRDefault="009B70B9" w:rsidP="006556E4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</w:t>
            </w:r>
            <w:r>
              <w:t xml:space="preserve"> reasonable expenses of administering and managing the investments of the fund.</w:t>
            </w:r>
          </w:p>
          <w:p w14:paraId="1D9A7A5C" w14:textId="181B6AD8" w:rsidR="00CC2CE9" w:rsidRDefault="009B70B9" w:rsidP="006556E4">
            <w:pPr>
              <w:pStyle w:val="Header"/>
              <w:jc w:val="both"/>
            </w:pPr>
            <w:r>
              <w:t xml:space="preserve">The resolution requires the legislature by general law to </w:t>
            </w:r>
            <w:r w:rsidRPr="00374C5F">
              <w:t xml:space="preserve">provide for the manner in which the assets of the fund may be used, subject to the limitations of </w:t>
            </w:r>
            <w:r>
              <w:t>the resolution's pro</w:t>
            </w:r>
            <w:r>
              <w:t xml:space="preserve">visions. </w:t>
            </w:r>
            <w:r w:rsidRPr="00CC2CE9">
              <w:t xml:space="preserve">The resolution authorizes the money </w:t>
            </w:r>
            <w:r w:rsidR="004C27E5">
              <w:t xml:space="preserve">in the fund </w:t>
            </w:r>
            <w:r w:rsidRPr="00CC2CE9">
              <w:t>to be used in conjunction with other funds or financial resources, including money from the federal government, in accordance with procedures, standards, and limitations established by federal law an</w:t>
            </w:r>
            <w:r w:rsidRPr="00CC2CE9">
              <w:t xml:space="preserve">d general </w:t>
            </w:r>
            <w:r w:rsidR="00856D53">
              <w:t xml:space="preserve">state </w:t>
            </w:r>
            <w:r w:rsidRPr="00CC2CE9">
              <w:t>law.</w:t>
            </w:r>
          </w:p>
          <w:p w14:paraId="4DFC160E" w14:textId="150E2148" w:rsidR="00CC2CE9" w:rsidRDefault="00CC2CE9" w:rsidP="006556E4">
            <w:pPr>
              <w:pStyle w:val="Header"/>
              <w:jc w:val="both"/>
            </w:pPr>
          </w:p>
          <w:p w14:paraId="382CFFEC" w14:textId="2E7D1AB6" w:rsidR="006D71C4" w:rsidRDefault="009B70B9" w:rsidP="006556E4">
            <w:pPr>
              <w:pStyle w:val="Header"/>
              <w:jc w:val="both"/>
            </w:pPr>
            <w:r w:rsidRPr="00BD0E33">
              <w:t xml:space="preserve">C.S.H.J.R. 125 requires the comptroller, not later than January 15, 2024, to transfer </w:t>
            </w:r>
            <w:r w:rsidR="004C27E5">
              <w:t xml:space="preserve">to the fund </w:t>
            </w:r>
            <w:r w:rsidRPr="00BD0E33">
              <w:t>$</w:t>
            </w:r>
            <w:r w:rsidR="00E32E91" w:rsidRPr="00BD0E33">
              <w:t>5</w:t>
            </w:r>
            <w:r w:rsidR="00E32E91">
              <w:t> </w:t>
            </w:r>
            <w:r w:rsidRPr="00BD0E33">
              <w:t>billion from the Economic Stabilization Fund (ESF), otherwise known as the Rainy Day Fund.</w:t>
            </w:r>
            <w:r>
              <w:t xml:space="preserve"> </w:t>
            </w:r>
            <w:r w:rsidR="006936B1">
              <w:t>For purposes of the constitutional limit on the rate of growth of appropriations,</w:t>
            </w:r>
            <w:r w:rsidR="006936B1" w:rsidRPr="00B42EA7">
              <w:t xml:space="preserve"> </w:t>
            </w:r>
            <w:r w:rsidR="006936B1">
              <w:t>t</w:t>
            </w:r>
            <w:r w:rsidR="00B42EA7" w:rsidRPr="00B42EA7">
              <w:t xml:space="preserve">he resolution provides that </w:t>
            </w:r>
            <w:r w:rsidR="00874BC0">
              <w:t xml:space="preserve">the </w:t>
            </w:r>
            <w:r w:rsidR="00B42EA7" w:rsidRPr="00B42EA7">
              <w:t xml:space="preserve">money </w:t>
            </w:r>
            <w:r w:rsidR="004C27E5">
              <w:t xml:space="preserve">in the fund </w:t>
            </w:r>
            <w:r w:rsidR="00B42EA7" w:rsidRPr="00B42EA7">
              <w:t>is constitutionally dedicated</w:t>
            </w:r>
            <w:r w:rsidR="00B42EA7">
              <w:t xml:space="preserve"> and </w:t>
            </w:r>
            <w:r w:rsidR="006936B1">
              <w:t xml:space="preserve">that </w:t>
            </w:r>
            <w:r w:rsidR="00B42EA7">
              <w:t xml:space="preserve">an appropriation </w:t>
            </w:r>
            <w:r w:rsidR="004C27E5">
              <w:t xml:space="preserve">of state tax revenue </w:t>
            </w:r>
            <w:r w:rsidR="006936B1">
              <w:t xml:space="preserve">to the fund </w:t>
            </w:r>
            <w:r w:rsidR="00B42EA7">
              <w:t xml:space="preserve">from the </w:t>
            </w:r>
            <w:r>
              <w:t xml:space="preserve">ESF </w:t>
            </w:r>
            <w:r w:rsidR="00B42EA7">
              <w:t xml:space="preserve">is </w:t>
            </w:r>
            <w:r w:rsidR="004C27E5">
              <w:t xml:space="preserve">treated as if it were </w:t>
            </w:r>
            <w:r w:rsidR="00B42EA7">
              <w:t>an appropriation of revenues dedicated</w:t>
            </w:r>
            <w:r w:rsidR="00B42EA7" w:rsidRPr="00B42EA7">
              <w:t xml:space="preserve"> </w:t>
            </w:r>
            <w:r w:rsidR="006936B1">
              <w:t>by</w:t>
            </w:r>
            <w:r w:rsidR="00B42EA7" w:rsidRPr="00B42EA7">
              <w:t xml:space="preserve"> the constitution</w:t>
            </w:r>
            <w:r w:rsidR="00B42EA7">
              <w:t>.</w:t>
            </w:r>
            <w:r w:rsidR="007F3F22">
              <w:t xml:space="preserve"> </w:t>
            </w:r>
          </w:p>
          <w:p w14:paraId="38C406F0" w14:textId="77777777" w:rsidR="006D71C4" w:rsidRDefault="006D71C4" w:rsidP="006556E4">
            <w:pPr>
              <w:pStyle w:val="Header"/>
              <w:jc w:val="both"/>
            </w:pPr>
          </w:p>
          <w:p w14:paraId="5AF76612" w14:textId="619D826F" w:rsidR="00E75DE9" w:rsidRDefault="009B70B9" w:rsidP="006556E4">
            <w:pPr>
              <w:pStyle w:val="Header"/>
              <w:jc w:val="both"/>
            </w:pPr>
            <w:r>
              <w:t>C.S.H.J.R. 125</w:t>
            </w:r>
            <w:r w:rsidR="00AA2800">
              <w:t xml:space="preserve"> </w:t>
            </w:r>
            <w:r w:rsidR="006D71C4">
              <w:t>takes effect January 1, 2024</w:t>
            </w:r>
            <w:r w:rsidR="00E74BB2">
              <w:t>, and the resolution's provisions expire on September</w:t>
            </w:r>
            <w:r w:rsidR="00AF6380">
              <w:t> </w:t>
            </w:r>
            <w:r w:rsidR="00E74BB2">
              <w:t>1, 2035, unless extended by adoption of a concurrent resolution approved by a record vote of two-thirds of the members of each house of the legislature. Such a resolution suspends that expiration date until September 1 of the 10th year following the adoption of the resolution.</w:t>
            </w:r>
            <w:r w:rsidR="00197B87">
              <w:t xml:space="preserve"> The resolution </w:t>
            </w:r>
            <w:r w:rsidR="00607E95">
              <w:t xml:space="preserve">requires the comptroller, immediately </w:t>
            </w:r>
            <w:r w:rsidR="00607E95" w:rsidRPr="00607E95">
              <w:t xml:space="preserve">before expiration, </w:t>
            </w:r>
            <w:r w:rsidR="00607E95">
              <w:t>to</w:t>
            </w:r>
            <w:r w:rsidR="00607E95" w:rsidRPr="00607E95">
              <w:t xml:space="preserve"> transfer any unexpended and unobligated balance remaining in the fund to the </w:t>
            </w:r>
            <w:r w:rsidR="00607E95">
              <w:t>ESF</w:t>
            </w:r>
            <w:r w:rsidR="00607E95" w:rsidRPr="00607E95">
              <w:t>.</w:t>
            </w:r>
          </w:p>
          <w:p w14:paraId="071F0BD4" w14:textId="77777777" w:rsidR="008423E4" w:rsidRPr="00835628" w:rsidRDefault="008423E4" w:rsidP="006556E4">
            <w:pPr>
              <w:rPr>
                <w:b/>
              </w:rPr>
            </w:pPr>
          </w:p>
        </w:tc>
      </w:tr>
      <w:tr w:rsidR="005964FA" w14:paraId="14AED90D" w14:textId="77777777" w:rsidTr="006556E4">
        <w:tc>
          <w:tcPr>
            <w:tcW w:w="9360" w:type="dxa"/>
          </w:tcPr>
          <w:p w14:paraId="4E89EC6F" w14:textId="77777777" w:rsidR="008423E4" w:rsidRPr="00A8133F" w:rsidRDefault="009B70B9" w:rsidP="006556E4">
            <w:pPr>
              <w:rPr>
                <w:b/>
              </w:rPr>
            </w:pPr>
            <w:r>
              <w:rPr>
                <w:b/>
                <w:u w:val="single"/>
              </w:rPr>
              <w:t>ELECTION DATE</w:t>
            </w:r>
            <w:r>
              <w:rPr>
                <w:b/>
              </w:rPr>
              <w:t xml:space="preserve"> </w:t>
            </w:r>
          </w:p>
          <w:p w14:paraId="1C402E0D" w14:textId="77777777" w:rsidR="008423E4" w:rsidRDefault="008423E4" w:rsidP="006556E4"/>
          <w:p w14:paraId="65336663" w14:textId="17FF4242" w:rsidR="008423E4" w:rsidRPr="003624F2" w:rsidRDefault="009B70B9" w:rsidP="006556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constitutional amendment proposed by this joint resolution will be submitted to the voters at an election to be held November 7, 2023.</w:t>
            </w:r>
          </w:p>
          <w:p w14:paraId="7FEBD09B" w14:textId="77777777" w:rsidR="008423E4" w:rsidRPr="00233FDB" w:rsidRDefault="008423E4" w:rsidP="006556E4">
            <w:pPr>
              <w:rPr>
                <w:b/>
              </w:rPr>
            </w:pPr>
          </w:p>
        </w:tc>
      </w:tr>
      <w:tr w:rsidR="005964FA" w14:paraId="77BFFB0F" w14:textId="77777777" w:rsidTr="006556E4">
        <w:tc>
          <w:tcPr>
            <w:tcW w:w="9360" w:type="dxa"/>
          </w:tcPr>
          <w:p w14:paraId="159FAB7D" w14:textId="77777777" w:rsidR="004642DF" w:rsidRDefault="009B70B9" w:rsidP="006556E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INTRODUCED AND </w:t>
            </w:r>
            <w:r>
              <w:rPr>
                <w:b/>
                <w:u w:val="single"/>
              </w:rPr>
              <w:t>SUBSTITUTE</w:t>
            </w:r>
          </w:p>
          <w:p w14:paraId="52685006" w14:textId="77777777" w:rsidR="00B439B5" w:rsidRDefault="00B439B5" w:rsidP="006556E4">
            <w:pPr>
              <w:jc w:val="both"/>
            </w:pPr>
          </w:p>
          <w:p w14:paraId="6046C434" w14:textId="72A1D40F" w:rsidR="00B439B5" w:rsidRDefault="009B70B9" w:rsidP="006556E4">
            <w:pPr>
              <w:jc w:val="both"/>
            </w:pPr>
            <w:r>
              <w:t xml:space="preserve">While C.S.H.J.R. 125 may differ from the introduced in minor or nonsubstantive ways, the following summarizes the substantial differences between the introduced and committee substitute versions of the </w:t>
            </w:r>
            <w:r w:rsidR="008478AC">
              <w:t>resolution</w:t>
            </w:r>
            <w:r>
              <w:t>.</w:t>
            </w:r>
          </w:p>
          <w:p w14:paraId="2109E2EF" w14:textId="2F8BDCCD" w:rsidR="00B439B5" w:rsidRDefault="00B439B5" w:rsidP="006556E4">
            <w:pPr>
              <w:jc w:val="both"/>
            </w:pPr>
          </w:p>
          <w:p w14:paraId="3DB305D0" w14:textId="10767E2E" w:rsidR="00263094" w:rsidRDefault="009B70B9" w:rsidP="006556E4">
            <w:pPr>
              <w:jc w:val="both"/>
            </w:pPr>
            <w:r w:rsidRPr="00B439B5">
              <w:t xml:space="preserve">The substitute includes </w:t>
            </w:r>
            <w:r w:rsidR="00461AA3">
              <w:t xml:space="preserve">a </w:t>
            </w:r>
            <w:r w:rsidRPr="00B439B5">
              <w:t>pro</w:t>
            </w:r>
            <w:r w:rsidRPr="00B439B5">
              <w:t>vision</w:t>
            </w:r>
            <w:r w:rsidR="00461AA3">
              <w:t xml:space="preserve"> specifying</w:t>
            </w:r>
            <w:r w:rsidRPr="00B439B5">
              <w:t xml:space="preserve"> th</w:t>
            </w:r>
            <w:r w:rsidR="00461AA3">
              <w:t>e</w:t>
            </w:r>
            <w:r w:rsidRPr="00B439B5">
              <w:t xml:space="preserve"> </w:t>
            </w:r>
            <w:r w:rsidR="00461AA3">
              <w:t>components of</w:t>
            </w:r>
            <w:r>
              <w:t xml:space="preserve"> the broadband infrastructure fund</w:t>
            </w:r>
            <w:r w:rsidR="00461AA3">
              <w:t>, whereas the introduced did not.</w:t>
            </w:r>
          </w:p>
          <w:p w14:paraId="3AE5153B" w14:textId="77777777" w:rsidR="00263094" w:rsidRDefault="00263094" w:rsidP="006556E4">
            <w:pPr>
              <w:jc w:val="both"/>
            </w:pPr>
          </w:p>
          <w:p w14:paraId="7B39F342" w14:textId="2CD357D2" w:rsidR="008E619B" w:rsidRDefault="009B70B9" w:rsidP="006556E4">
            <w:pPr>
              <w:jc w:val="both"/>
            </w:pPr>
            <w:r>
              <w:t xml:space="preserve">The substitute </w:t>
            </w:r>
            <w:r w:rsidR="00E760AE">
              <w:t xml:space="preserve">includes </w:t>
            </w:r>
            <w:r w:rsidR="0034762C">
              <w:t xml:space="preserve">a </w:t>
            </w:r>
            <w:r>
              <w:t xml:space="preserve">provision </w:t>
            </w:r>
            <w:r w:rsidR="00E760AE">
              <w:t xml:space="preserve">not </w:t>
            </w:r>
            <w:r>
              <w:t xml:space="preserve">in </w:t>
            </w:r>
            <w:r w:rsidR="00E760AE">
              <w:t xml:space="preserve">the </w:t>
            </w:r>
            <w:r>
              <w:t>introduce</w:t>
            </w:r>
            <w:r w:rsidR="0034762C">
              <w:t xml:space="preserve">d </w:t>
            </w:r>
            <w:r w:rsidR="00E760AE">
              <w:t xml:space="preserve">specifying that money in </w:t>
            </w:r>
            <w:r w:rsidR="0034762C">
              <w:t>the fund</w:t>
            </w:r>
            <w:r>
              <w:t xml:space="preserve"> </w:t>
            </w:r>
            <w:r w:rsidR="00E760AE">
              <w:t xml:space="preserve">may </w:t>
            </w:r>
            <w:r>
              <w:t xml:space="preserve">be used </w:t>
            </w:r>
            <w:r w:rsidRPr="008E619B">
              <w:t>without further appropriation</w:t>
            </w:r>
            <w:r w:rsidR="00E760AE">
              <w:t xml:space="preserve">. The substitute revises the specific purposes for </w:t>
            </w:r>
            <w:r w:rsidR="009C7711">
              <w:t xml:space="preserve">which </w:t>
            </w:r>
            <w:r w:rsidR="00E760AE">
              <w:t>the money may be used, as set out in the introduced, by doing the following:</w:t>
            </w:r>
            <w:r>
              <w:t xml:space="preserve"> </w:t>
            </w:r>
          </w:p>
          <w:p w14:paraId="5AA1F491" w14:textId="703CBD12" w:rsidR="009C62D4" w:rsidRDefault="009B70B9" w:rsidP="006556E4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  <w:r>
              <w:t>removing language</w:t>
            </w:r>
            <w:r w:rsidR="008E619B" w:rsidRPr="008E619B">
              <w:t xml:space="preserve"> </w:t>
            </w:r>
            <w:r>
              <w:t xml:space="preserve">limiting the </w:t>
            </w:r>
            <w:r w:rsidR="008E619B" w:rsidRPr="008E619B">
              <w:t>broadband and telecommunications services</w:t>
            </w:r>
            <w:r w:rsidR="008E619B">
              <w:t xml:space="preserve"> </w:t>
            </w:r>
            <w:r w:rsidR="00EE4C1C">
              <w:t xml:space="preserve">that may be provided for with the money to </w:t>
            </w:r>
            <w:r>
              <w:t xml:space="preserve">only </w:t>
            </w:r>
            <w:r>
              <w:t>services that are</w:t>
            </w:r>
            <w:r w:rsidRPr="008E619B">
              <w:t xml:space="preserve"> </w:t>
            </w:r>
            <w:r w:rsidR="008E619B" w:rsidRPr="008E619B">
              <w:t xml:space="preserve">determined </w:t>
            </w:r>
            <w:r>
              <w:t xml:space="preserve">to be for that purpose </w:t>
            </w:r>
            <w:r w:rsidR="008E619B" w:rsidRPr="008E619B">
              <w:t>by the comptroller and the Public Utility Commission of Texas</w:t>
            </w:r>
            <w:r>
              <w:t>;</w:t>
            </w:r>
            <w:r w:rsidR="008E619B">
              <w:t xml:space="preserve"> </w:t>
            </w:r>
          </w:p>
          <w:p w14:paraId="31CCFAC7" w14:textId="3B0F2E74" w:rsidR="008E619B" w:rsidRDefault="009B70B9" w:rsidP="006556E4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  <w:r>
              <w:t xml:space="preserve">specifying that the money may be used to provide </w:t>
            </w:r>
            <w:r w:rsidR="00633899" w:rsidRPr="00633899">
              <w:t xml:space="preserve">services authorized by general law to be funded by the </w:t>
            </w:r>
            <w:r>
              <w:t>Texas U</w:t>
            </w:r>
            <w:r w:rsidR="00633899" w:rsidRPr="00633899">
              <w:t xml:space="preserve">niversal </w:t>
            </w:r>
            <w:r>
              <w:t>S</w:t>
            </w:r>
            <w:r w:rsidR="00633899" w:rsidRPr="00633899">
              <w:t xml:space="preserve">ervice </w:t>
            </w:r>
            <w:r>
              <w:t>F</w:t>
            </w:r>
            <w:r w:rsidR="00633899" w:rsidRPr="00633899">
              <w:t>und;</w:t>
            </w:r>
            <w:r w:rsidR="00633899">
              <w:t xml:space="preserve"> and</w:t>
            </w:r>
          </w:p>
          <w:p w14:paraId="2BAB547C" w14:textId="271F5B26" w:rsidR="00633899" w:rsidRDefault="009B70B9" w:rsidP="006556E4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  <w:r>
              <w:t>au</w:t>
            </w:r>
            <w:r>
              <w:t xml:space="preserve">thorizes the </w:t>
            </w:r>
            <w:r w:rsidR="009C62D4">
              <w:t xml:space="preserve">money </w:t>
            </w:r>
            <w:r>
              <w:t xml:space="preserve">to be used for </w:t>
            </w:r>
            <w:r w:rsidRPr="00633899">
              <w:t>reasonable expenses of administering and managing the investments of the fund</w:t>
            </w:r>
            <w:r>
              <w:t>.</w:t>
            </w:r>
          </w:p>
          <w:p w14:paraId="440E4A6A" w14:textId="77777777" w:rsidR="00EE4C1C" w:rsidRDefault="00EE4C1C" w:rsidP="006556E4">
            <w:pPr>
              <w:jc w:val="both"/>
            </w:pPr>
          </w:p>
          <w:p w14:paraId="41479DD8" w14:textId="05B7E0C8" w:rsidR="00DC3DC0" w:rsidRDefault="009B70B9" w:rsidP="006556E4">
            <w:pPr>
              <w:jc w:val="both"/>
            </w:pPr>
            <w:r w:rsidRPr="00DC3DC0">
              <w:t>The substitute omits the</w:t>
            </w:r>
            <w:r w:rsidR="00EE4C1C">
              <w:t xml:space="preserve"> provision from the introduced</w:t>
            </w:r>
            <w:r w:rsidRPr="00DC3DC0">
              <w:t xml:space="preserve"> cap</w:t>
            </w:r>
            <w:r w:rsidR="00EE4C1C">
              <w:t>ping</w:t>
            </w:r>
            <w:r w:rsidRPr="00DC3DC0">
              <w:t xml:space="preserve"> </w:t>
            </w:r>
            <w:r w:rsidR="00EE4C1C">
              <w:t>at</w:t>
            </w:r>
            <w:r w:rsidRPr="00DC3DC0">
              <w:t xml:space="preserve"> $5 billion the total amount that may be appropriated </w:t>
            </w:r>
            <w:r w:rsidR="00EE4C1C">
              <w:t xml:space="preserve">to the fund </w:t>
            </w:r>
            <w:r w:rsidRPr="00DC3DC0">
              <w:t>by the legislature.</w:t>
            </w:r>
            <w:r>
              <w:t xml:space="preserve"> </w:t>
            </w:r>
            <w:r w:rsidRPr="00DC3DC0">
              <w:t xml:space="preserve">The substitute includes a </w:t>
            </w:r>
            <w:r w:rsidR="00EE4C1C">
              <w:t>provision</w:t>
            </w:r>
            <w:r w:rsidR="00EE4C1C" w:rsidRPr="00DC3DC0">
              <w:t xml:space="preserve"> </w:t>
            </w:r>
            <w:r w:rsidR="00EE4C1C">
              <w:t>that</w:t>
            </w:r>
            <w:r>
              <w:t xml:space="preserve"> requir</w:t>
            </w:r>
            <w:r w:rsidR="00EE4C1C">
              <w:t>es</w:t>
            </w:r>
            <w:r>
              <w:t xml:space="preserve"> the comptroller, n</w:t>
            </w:r>
            <w:r w:rsidRPr="00DC3DC0">
              <w:t>ot later than January 15, 2024,</w:t>
            </w:r>
            <w:r w:rsidR="00EE4C1C">
              <w:t xml:space="preserve"> instead</w:t>
            </w:r>
            <w:r w:rsidRPr="00DC3DC0">
              <w:t xml:space="preserve"> </w:t>
            </w:r>
            <w:r>
              <w:t>to</w:t>
            </w:r>
            <w:r w:rsidRPr="00DC3DC0">
              <w:t xml:space="preserve"> transfer $5 billion </w:t>
            </w:r>
            <w:r w:rsidR="00EE4C1C">
              <w:t xml:space="preserve">to the fund </w:t>
            </w:r>
            <w:r w:rsidRPr="00DC3DC0">
              <w:t xml:space="preserve">from the </w:t>
            </w:r>
            <w:r>
              <w:t>ESF</w:t>
            </w:r>
            <w:r w:rsidR="00856D53">
              <w:t>.</w:t>
            </w:r>
          </w:p>
          <w:p w14:paraId="6CDAD336" w14:textId="23C2559B" w:rsidR="00DC3DC0" w:rsidRDefault="00DC3DC0" w:rsidP="006556E4">
            <w:pPr>
              <w:jc w:val="both"/>
            </w:pPr>
          </w:p>
          <w:p w14:paraId="2B1C4CED" w14:textId="2FB3652D" w:rsidR="00B439B5" w:rsidRPr="00B439B5" w:rsidRDefault="009B70B9" w:rsidP="006556E4">
            <w:pPr>
              <w:jc w:val="both"/>
            </w:pPr>
            <w:r w:rsidRPr="00DC3DC0">
              <w:t>The substitu</w:t>
            </w:r>
            <w:r w:rsidRPr="00DC3DC0">
              <w:t>te includes</w:t>
            </w:r>
            <w:r>
              <w:t xml:space="preserve"> </w:t>
            </w:r>
            <w:r w:rsidR="00EE4C1C">
              <w:t xml:space="preserve">a </w:t>
            </w:r>
            <w:r>
              <w:t>requirement for the comptroller, i</w:t>
            </w:r>
            <w:r w:rsidRPr="00DC3DC0">
              <w:t xml:space="preserve">mmediately before the expiration of </w:t>
            </w:r>
            <w:r w:rsidR="00D0317A">
              <w:t>the resolution's provisions</w:t>
            </w:r>
            <w:r w:rsidRPr="00DC3DC0">
              <w:t xml:space="preserve">, </w:t>
            </w:r>
            <w:r w:rsidR="00D0317A">
              <w:t>to</w:t>
            </w:r>
            <w:r w:rsidRPr="00DC3DC0">
              <w:t xml:space="preserve"> transfer any unexpended and unobligated balance remaining in the fund to the </w:t>
            </w:r>
            <w:r w:rsidR="00D0317A">
              <w:t>ESF</w:t>
            </w:r>
            <w:r w:rsidRPr="00DC3DC0">
              <w:t xml:space="preserve">, which did not appear in the introduced. </w:t>
            </w:r>
          </w:p>
        </w:tc>
      </w:tr>
      <w:tr w:rsidR="005964FA" w14:paraId="1A7C3034" w14:textId="77777777" w:rsidTr="006556E4">
        <w:tc>
          <w:tcPr>
            <w:tcW w:w="9360" w:type="dxa"/>
          </w:tcPr>
          <w:p w14:paraId="37462EBF" w14:textId="77777777" w:rsidR="004642DF" w:rsidRDefault="004642DF" w:rsidP="006556E4">
            <w:pPr>
              <w:rPr>
                <w:b/>
                <w:u w:val="single"/>
              </w:rPr>
            </w:pPr>
          </w:p>
        </w:tc>
      </w:tr>
    </w:tbl>
    <w:p w14:paraId="12C97C40" w14:textId="77777777" w:rsidR="008423E4" w:rsidRPr="00BE0E75" w:rsidRDefault="008423E4" w:rsidP="006556E4">
      <w:pPr>
        <w:jc w:val="both"/>
        <w:rPr>
          <w:rFonts w:ascii="Arial" w:hAnsi="Arial"/>
          <w:sz w:val="16"/>
          <w:szCs w:val="16"/>
        </w:rPr>
      </w:pPr>
    </w:p>
    <w:p w14:paraId="56B06363" w14:textId="77777777" w:rsidR="004108C3" w:rsidRPr="008423E4" w:rsidRDefault="004108C3" w:rsidP="006556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074F1" w14:textId="77777777" w:rsidR="00000000" w:rsidRDefault="009B70B9">
      <w:r>
        <w:separator/>
      </w:r>
    </w:p>
  </w:endnote>
  <w:endnote w:type="continuationSeparator" w:id="0">
    <w:p w14:paraId="1A45EEF8" w14:textId="77777777" w:rsidR="00000000" w:rsidRDefault="009B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D2EB" w14:textId="77777777" w:rsidR="006D71C4" w:rsidRDefault="006D7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964FA" w14:paraId="075DBE84" w14:textId="77777777" w:rsidTr="009C1E9A">
      <w:trPr>
        <w:cantSplit/>
      </w:trPr>
      <w:tc>
        <w:tcPr>
          <w:tcW w:w="0" w:type="pct"/>
        </w:tcPr>
        <w:p w14:paraId="70D3A87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2F3EA6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2752CC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4442F6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6DA7F9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964FA" w14:paraId="64A526A3" w14:textId="77777777" w:rsidTr="009C1E9A">
      <w:trPr>
        <w:cantSplit/>
      </w:trPr>
      <w:tc>
        <w:tcPr>
          <w:tcW w:w="0" w:type="pct"/>
        </w:tcPr>
        <w:p w14:paraId="32628EB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A08F3BF" w14:textId="5B0DB2AF" w:rsidR="00EC379B" w:rsidRPr="009C1E9A" w:rsidRDefault="009B70B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22196-D</w:t>
          </w:r>
        </w:p>
      </w:tc>
      <w:tc>
        <w:tcPr>
          <w:tcW w:w="2453" w:type="pct"/>
        </w:tcPr>
        <w:p w14:paraId="147B98E4" w14:textId="2EBF1E65" w:rsidR="00EC379B" w:rsidRDefault="009B70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95F52">
            <w:t>23.95.2157</w:t>
          </w:r>
          <w:r>
            <w:fldChar w:fldCharType="end"/>
          </w:r>
        </w:p>
      </w:tc>
    </w:tr>
    <w:tr w:rsidR="005964FA" w14:paraId="64ABDCD1" w14:textId="77777777" w:rsidTr="009C1E9A">
      <w:trPr>
        <w:cantSplit/>
      </w:trPr>
      <w:tc>
        <w:tcPr>
          <w:tcW w:w="0" w:type="pct"/>
        </w:tcPr>
        <w:p w14:paraId="2EC823D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F12D248" w14:textId="3AD39DF5" w:rsidR="00EC379B" w:rsidRPr="009C1E9A" w:rsidRDefault="009B70B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Number: 88R </w:t>
          </w:r>
          <w:r>
            <w:rPr>
              <w:rFonts w:ascii="Shruti" w:hAnsi="Shruti"/>
              <w:sz w:val="22"/>
            </w:rPr>
            <w:t>20126</w:t>
          </w:r>
        </w:p>
      </w:tc>
      <w:tc>
        <w:tcPr>
          <w:tcW w:w="2453" w:type="pct"/>
        </w:tcPr>
        <w:p w14:paraId="2019E75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CCC4CD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964FA" w14:paraId="76E94B6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0433789" w14:textId="77777777" w:rsidR="00EC379B" w:rsidRDefault="009B70B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DB6550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EFEA86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B1DF0" w14:textId="77777777" w:rsidR="006D71C4" w:rsidRDefault="006D7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0B57D" w14:textId="77777777" w:rsidR="00000000" w:rsidRDefault="009B70B9">
      <w:r>
        <w:separator/>
      </w:r>
    </w:p>
  </w:footnote>
  <w:footnote w:type="continuationSeparator" w:id="0">
    <w:p w14:paraId="3AE6E3C2" w14:textId="77777777" w:rsidR="00000000" w:rsidRDefault="009B7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FA9C" w14:textId="77777777" w:rsidR="006D71C4" w:rsidRDefault="006D71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0D66" w14:textId="77777777" w:rsidR="006D71C4" w:rsidRDefault="006D71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D915" w14:textId="77777777" w:rsidR="006D71C4" w:rsidRDefault="006D71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250"/>
    <w:multiLevelType w:val="hybridMultilevel"/>
    <w:tmpl w:val="90023B72"/>
    <w:lvl w:ilvl="0" w:tplc="7842ED9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A5462252" w:tentative="1">
      <w:start w:val="1"/>
      <w:numFmt w:val="lowerLetter"/>
      <w:lvlText w:val="%2."/>
      <w:lvlJc w:val="left"/>
      <w:pPr>
        <w:ind w:left="1440" w:hanging="360"/>
      </w:pPr>
    </w:lvl>
    <w:lvl w:ilvl="2" w:tplc="01DE21A0" w:tentative="1">
      <w:start w:val="1"/>
      <w:numFmt w:val="lowerRoman"/>
      <w:lvlText w:val="%3."/>
      <w:lvlJc w:val="right"/>
      <w:pPr>
        <w:ind w:left="2160" w:hanging="180"/>
      </w:pPr>
    </w:lvl>
    <w:lvl w:ilvl="3" w:tplc="39584774" w:tentative="1">
      <w:start w:val="1"/>
      <w:numFmt w:val="decimal"/>
      <w:lvlText w:val="%4."/>
      <w:lvlJc w:val="left"/>
      <w:pPr>
        <w:ind w:left="2880" w:hanging="360"/>
      </w:pPr>
    </w:lvl>
    <w:lvl w:ilvl="4" w:tplc="8ACC1C8C" w:tentative="1">
      <w:start w:val="1"/>
      <w:numFmt w:val="lowerLetter"/>
      <w:lvlText w:val="%5."/>
      <w:lvlJc w:val="left"/>
      <w:pPr>
        <w:ind w:left="3600" w:hanging="360"/>
      </w:pPr>
    </w:lvl>
    <w:lvl w:ilvl="5" w:tplc="7FC4F608" w:tentative="1">
      <w:start w:val="1"/>
      <w:numFmt w:val="lowerRoman"/>
      <w:lvlText w:val="%6."/>
      <w:lvlJc w:val="right"/>
      <w:pPr>
        <w:ind w:left="4320" w:hanging="180"/>
      </w:pPr>
    </w:lvl>
    <w:lvl w:ilvl="6" w:tplc="29FACF18" w:tentative="1">
      <w:start w:val="1"/>
      <w:numFmt w:val="decimal"/>
      <w:lvlText w:val="%7."/>
      <w:lvlJc w:val="left"/>
      <w:pPr>
        <w:ind w:left="5040" w:hanging="360"/>
      </w:pPr>
    </w:lvl>
    <w:lvl w:ilvl="7" w:tplc="71565160" w:tentative="1">
      <w:start w:val="1"/>
      <w:numFmt w:val="lowerLetter"/>
      <w:lvlText w:val="%8."/>
      <w:lvlJc w:val="left"/>
      <w:pPr>
        <w:ind w:left="5760" w:hanging="360"/>
      </w:pPr>
    </w:lvl>
    <w:lvl w:ilvl="8" w:tplc="25A230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344C"/>
    <w:multiLevelType w:val="hybridMultilevel"/>
    <w:tmpl w:val="8BFA71C8"/>
    <w:lvl w:ilvl="0" w:tplc="2952BA8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4FE8DDAC" w:tentative="1">
      <w:start w:val="1"/>
      <w:numFmt w:val="lowerLetter"/>
      <w:lvlText w:val="%2."/>
      <w:lvlJc w:val="left"/>
      <w:pPr>
        <w:ind w:left="1440" w:hanging="360"/>
      </w:pPr>
    </w:lvl>
    <w:lvl w:ilvl="2" w:tplc="B65A3FF6" w:tentative="1">
      <w:start w:val="1"/>
      <w:numFmt w:val="lowerRoman"/>
      <w:lvlText w:val="%3."/>
      <w:lvlJc w:val="right"/>
      <w:pPr>
        <w:ind w:left="2160" w:hanging="180"/>
      </w:pPr>
    </w:lvl>
    <w:lvl w:ilvl="3" w:tplc="1A962B44" w:tentative="1">
      <w:start w:val="1"/>
      <w:numFmt w:val="decimal"/>
      <w:lvlText w:val="%4."/>
      <w:lvlJc w:val="left"/>
      <w:pPr>
        <w:ind w:left="2880" w:hanging="360"/>
      </w:pPr>
    </w:lvl>
    <w:lvl w:ilvl="4" w:tplc="1A3E1CB0" w:tentative="1">
      <w:start w:val="1"/>
      <w:numFmt w:val="lowerLetter"/>
      <w:lvlText w:val="%5."/>
      <w:lvlJc w:val="left"/>
      <w:pPr>
        <w:ind w:left="3600" w:hanging="360"/>
      </w:pPr>
    </w:lvl>
    <w:lvl w:ilvl="5" w:tplc="DBF4B740" w:tentative="1">
      <w:start w:val="1"/>
      <w:numFmt w:val="lowerRoman"/>
      <w:lvlText w:val="%6."/>
      <w:lvlJc w:val="right"/>
      <w:pPr>
        <w:ind w:left="4320" w:hanging="180"/>
      </w:pPr>
    </w:lvl>
    <w:lvl w:ilvl="6" w:tplc="8EC45BC2" w:tentative="1">
      <w:start w:val="1"/>
      <w:numFmt w:val="decimal"/>
      <w:lvlText w:val="%7."/>
      <w:lvlJc w:val="left"/>
      <w:pPr>
        <w:ind w:left="5040" w:hanging="360"/>
      </w:pPr>
    </w:lvl>
    <w:lvl w:ilvl="7" w:tplc="7480E5BE" w:tentative="1">
      <w:start w:val="1"/>
      <w:numFmt w:val="lowerLetter"/>
      <w:lvlText w:val="%8."/>
      <w:lvlJc w:val="left"/>
      <w:pPr>
        <w:ind w:left="5760" w:hanging="360"/>
      </w:pPr>
    </w:lvl>
    <w:lvl w:ilvl="8" w:tplc="7092F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F4500"/>
    <w:multiLevelType w:val="hybridMultilevel"/>
    <w:tmpl w:val="AD24C720"/>
    <w:lvl w:ilvl="0" w:tplc="1E5AB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0E2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F6A1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815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5CC5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E868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A3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256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1254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941E7"/>
    <w:multiLevelType w:val="hybridMultilevel"/>
    <w:tmpl w:val="E096595E"/>
    <w:lvl w:ilvl="0" w:tplc="E7EA93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007F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AC27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3004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861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F819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6E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7627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DCE6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A58A0"/>
    <w:multiLevelType w:val="hybridMultilevel"/>
    <w:tmpl w:val="974833A2"/>
    <w:lvl w:ilvl="0" w:tplc="9D1A9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F899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0EBE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866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66D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2CD5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8C4B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76E5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7495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E220C"/>
    <w:multiLevelType w:val="hybridMultilevel"/>
    <w:tmpl w:val="C53C112A"/>
    <w:lvl w:ilvl="0" w:tplc="9C8294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B818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9CF4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B861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5EF8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461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459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8A5B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6631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5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1BE6"/>
    <w:rsid w:val="00064BF2"/>
    <w:rsid w:val="000667BA"/>
    <w:rsid w:val="000676A7"/>
    <w:rsid w:val="00073914"/>
    <w:rsid w:val="00074236"/>
    <w:rsid w:val="000746BD"/>
    <w:rsid w:val="00076D7D"/>
    <w:rsid w:val="00080D95"/>
    <w:rsid w:val="0008627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1C11"/>
    <w:rsid w:val="000F28A5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27E1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97B87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094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0C04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0E3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62C"/>
    <w:rsid w:val="00347B4A"/>
    <w:rsid w:val="003500C3"/>
    <w:rsid w:val="003503B9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4C5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1EC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AA3"/>
    <w:rsid w:val="00461B69"/>
    <w:rsid w:val="00462B3D"/>
    <w:rsid w:val="004642DF"/>
    <w:rsid w:val="00474927"/>
    <w:rsid w:val="00475913"/>
    <w:rsid w:val="00480080"/>
    <w:rsid w:val="004824A7"/>
    <w:rsid w:val="00483AF0"/>
    <w:rsid w:val="00484167"/>
    <w:rsid w:val="0048730D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27E5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03E8"/>
    <w:rsid w:val="005832EE"/>
    <w:rsid w:val="005847EF"/>
    <w:rsid w:val="005851E6"/>
    <w:rsid w:val="005878B7"/>
    <w:rsid w:val="00592C9A"/>
    <w:rsid w:val="00593DF8"/>
    <w:rsid w:val="00595745"/>
    <w:rsid w:val="005964FA"/>
    <w:rsid w:val="005A0E18"/>
    <w:rsid w:val="005A12A5"/>
    <w:rsid w:val="005A3790"/>
    <w:rsid w:val="005A3CCB"/>
    <w:rsid w:val="005A6D13"/>
    <w:rsid w:val="005B031F"/>
    <w:rsid w:val="005B3298"/>
    <w:rsid w:val="005B3C13"/>
    <w:rsid w:val="005B5079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52C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07E95"/>
    <w:rsid w:val="006106E9"/>
    <w:rsid w:val="0061159E"/>
    <w:rsid w:val="00614633"/>
    <w:rsid w:val="00614BC8"/>
    <w:rsid w:val="006151FB"/>
    <w:rsid w:val="00617411"/>
    <w:rsid w:val="006249CB"/>
    <w:rsid w:val="00626638"/>
    <w:rsid w:val="006272DD"/>
    <w:rsid w:val="00630963"/>
    <w:rsid w:val="00631897"/>
    <w:rsid w:val="00632928"/>
    <w:rsid w:val="006330DA"/>
    <w:rsid w:val="00633262"/>
    <w:rsid w:val="00633460"/>
    <w:rsid w:val="00633899"/>
    <w:rsid w:val="006402E7"/>
    <w:rsid w:val="00640CB6"/>
    <w:rsid w:val="00641B42"/>
    <w:rsid w:val="00644F5B"/>
    <w:rsid w:val="00645750"/>
    <w:rsid w:val="00650692"/>
    <w:rsid w:val="006508D3"/>
    <w:rsid w:val="00650AFA"/>
    <w:rsid w:val="006556E4"/>
    <w:rsid w:val="00662B77"/>
    <w:rsid w:val="00662D0E"/>
    <w:rsid w:val="00663265"/>
    <w:rsid w:val="0066345F"/>
    <w:rsid w:val="0066485B"/>
    <w:rsid w:val="00664C3C"/>
    <w:rsid w:val="0067036E"/>
    <w:rsid w:val="00671693"/>
    <w:rsid w:val="006757AA"/>
    <w:rsid w:val="0068127E"/>
    <w:rsid w:val="00681790"/>
    <w:rsid w:val="006823AA"/>
    <w:rsid w:val="0068302A"/>
    <w:rsid w:val="006830E8"/>
    <w:rsid w:val="00684B98"/>
    <w:rsid w:val="00685DC9"/>
    <w:rsid w:val="00687465"/>
    <w:rsid w:val="006907CF"/>
    <w:rsid w:val="00691CCF"/>
    <w:rsid w:val="006936B1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D71C4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5C6D"/>
    <w:rsid w:val="007C6803"/>
    <w:rsid w:val="007D2892"/>
    <w:rsid w:val="007D2DCC"/>
    <w:rsid w:val="007D47E1"/>
    <w:rsid w:val="007D7FCB"/>
    <w:rsid w:val="007E33B6"/>
    <w:rsid w:val="007E59E8"/>
    <w:rsid w:val="007F3861"/>
    <w:rsid w:val="007F3F22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2779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78AC"/>
    <w:rsid w:val="00850CF0"/>
    <w:rsid w:val="00851869"/>
    <w:rsid w:val="00851C04"/>
    <w:rsid w:val="008531A1"/>
    <w:rsid w:val="00853A94"/>
    <w:rsid w:val="008547A3"/>
    <w:rsid w:val="00856D5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BC0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0C3A"/>
    <w:rsid w:val="008D27A5"/>
    <w:rsid w:val="008D2AAB"/>
    <w:rsid w:val="008D309C"/>
    <w:rsid w:val="008D58F9"/>
    <w:rsid w:val="008D7427"/>
    <w:rsid w:val="008E3338"/>
    <w:rsid w:val="008E47BE"/>
    <w:rsid w:val="008E619B"/>
    <w:rsid w:val="008F09DF"/>
    <w:rsid w:val="008F3022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5E40"/>
    <w:rsid w:val="00946044"/>
    <w:rsid w:val="0094653B"/>
    <w:rsid w:val="009465AB"/>
    <w:rsid w:val="00946DEE"/>
    <w:rsid w:val="00953499"/>
    <w:rsid w:val="00954A16"/>
    <w:rsid w:val="0095696D"/>
    <w:rsid w:val="00960F2D"/>
    <w:rsid w:val="00962E81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0B9"/>
    <w:rsid w:val="009B7806"/>
    <w:rsid w:val="009C05C1"/>
    <w:rsid w:val="009C1E9A"/>
    <w:rsid w:val="009C2A33"/>
    <w:rsid w:val="009C2E49"/>
    <w:rsid w:val="009C36CD"/>
    <w:rsid w:val="009C43A5"/>
    <w:rsid w:val="009C5A1D"/>
    <w:rsid w:val="009C62D4"/>
    <w:rsid w:val="009C6B08"/>
    <w:rsid w:val="009C70FC"/>
    <w:rsid w:val="009C7711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15DEC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2D30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64A85"/>
    <w:rsid w:val="00A70E35"/>
    <w:rsid w:val="00A720DC"/>
    <w:rsid w:val="00A803CF"/>
    <w:rsid w:val="00A8133F"/>
    <w:rsid w:val="00A82CB4"/>
    <w:rsid w:val="00A837A8"/>
    <w:rsid w:val="00A83C36"/>
    <w:rsid w:val="00A85571"/>
    <w:rsid w:val="00A932BB"/>
    <w:rsid w:val="00A93579"/>
    <w:rsid w:val="00A93934"/>
    <w:rsid w:val="00A95D51"/>
    <w:rsid w:val="00AA18AE"/>
    <w:rsid w:val="00AA228B"/>
    <w:rsid w:val="00AA2800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C4D"/>
    <w:rsid w:val="00AE2D12"/>
    <w:rsid w:val="00AE2F06"/>
    <w:rsid w:val="00AE4F1C"/>
    <w:rsid w:val="00AF1433"/>
    <w:rsid w:val="00AF48B4"/>
    <w:rsid w:val="00AF4923"/>
    <w:rsid w:val="00AF6380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240A"/>
    <w:rsid w:val="00B233BB"/>
    <w:rsid w:val="00B24B72"/>
    <w:rsid w:val="00B25612"/>
    <w:rsid w:val="00B26437"/>
    <w:rsid w:val="00B2664C"/>
    <w:rsid w:val="00B2678E"/>
    <w:rsid w:val="00B30647"/>
    <w:rsid w:val="00B31F0E"/>
    <w:rsid w:val="00B34F25"/>
    <w:rsid w:val="00B42EA7"/>
    <w:rsid w:val="00B43672"/>
    <w:rsid w:val="00B439B5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7F41"/>
    <w:rsid w:val="00B90097"/>
    <w:rsid w:val="00B90999"/>
    <w:rsid w:val="00B91AD7"/>
    <w:rsid w:val="00B92D23"/>
    <w:rsid w:val="00B95BC8"/>
    <w:rsid w:val="00B95F52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0E33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590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41AE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2CE9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6AA2"/>
    <w:rsid w:val="00CF1793"/>
    <w:rsid w:val="00CF4827"/>
    <w:rsid w:val="00CF4C69"/>
    <w:rsid w:val="00CF581C"/>
    <w:rsid w:val="00CF71E0"/>
    <w:rsid w:val="00D001B1"/>
    <w:rsid w:val="00D03176"/>
    <w:rsid w:val="00D0317A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3DC0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2E91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4BB2"/>
    <w:rsid w:val="00E75DE9"/>
    <w:rsid w:val="00E760AE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4C1C"/>
    <w:rsid w:val="00EE5519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12F6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8D5F29-7C98-4F5C-8CB7-838C6184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42E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2E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2EA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2E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2EA7"/>
    <w:rPr>
      <w:b/>
      <w:bCs/>
    </w:rPr>
  </w:style>
  <w:style w:type="paragraph" w:styleId="Revision">
    <w:name w:val="Revision"/>
    <w:hidden/>
    <w:uiPriority w:val="99"/>
    <w:semiHidden/>
    <w:rsid w:val="006D71C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63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938</Words>
  <Characters>5252</Characters>
  <Application>Microsoft Office Word</Application>
  <DocSecurity>4</DocSecurity>
  <Lines>111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HJR00125 (Committee Report (Substituted))</vt:lpstr>
    </vt:vector>
  </TitlesOfParts>
  <Company>State of Texas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22196</dc:subject>
  <dc:creator>State of Texas</dc:creator>
  <dc:description>HJR 125 by Ashby-(H)State Affairs (Substitute Document Number: 88R 20126)</dc:description>
  <cp:lastModifiedBy>Matthew Lee</cp:lastModifiedBy>
  <cp:revision>2</cp:revision>
  <cp:lastPrinted>2003-11-26T17:21:00Z</cp:lastPrinted>
  <dcterms:created xsi:type="dcterms:W3CDTF">2023-04-17T15:35:00Z</dcterms:created>
  <dcterms:modified xsi:type="dcterms:W3CDTF">2023-04-17T15:35:00Z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23.95.2157</vt:lpwstr>
  </property>
</Properties>
</file>