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CF3" w:rsidRDefault="004C5C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5F39479298454BB589A38CD784EE6B"/>
          </w:placeholder>
        </w:sdtPr>
        <w:sdtContent>
          <w:r w:rsidRPr="005C2A78">
            <w:rPr>
              <w:rFonts w:cs="Times New Roman"/>
              <w:b/>
              <w:szCs w:val="24"/>
              <w:u w:val="single"/>
            </w:rPr>
            <w:t>BILL ANALYSIS</w:t>
          </w:r>
        </w:sdtContent>
      </w:sdt>
    </w:p>
    <w:p w:rsidR="004C5CF3" w:rsidRPr="00585C31" w:rsidRDefault="004C5CF3" w:rsidP="000F1DF9">
      <w:pPr>
        <w:spacing w:after="0" w:line="240" w:lineRule="auto"/>
        <w:rPr>
          <w:rFonts w:cs="Times New Roman"/>
          <w:szCs w:val="24"/>
        </w:rPr>
      </w:pPr>
    </w:p>
    <w:p w:rsidR="004C5CF3" w:rsidRPr="00585C31" w:rsidRDefault="004C5C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5CF3" w:rsidTr="000F1DF9">
        <w:tc>
          <w:tcPr>
            <w:tcW w:w="2718" w:type="dxa"/>
          </w:tcPr>
          <w:p w:rsidR="004C5CF3" w:rsidRPr="005C2A78" w:rsidRDefault="004C5CF3" w:rsidP="006D756B">
            <w:pPr>
              <w:rPr>
                <w:rFonts w:cs="Times New Roman"/>
                <w:szCs w:val="24"/>
              </w:rPr>
            </w:pPr>
            <w:sdt>
              <w:sdtPr>
                <w:rPr>
                  <w:rFonts w:cs="Times New Roman"/>
                  <w:szCs w:val="24"/>
                </w:rPr>
                <w:alias w:val="Agency Title"/>
                <w:tag w:val="AgencyTitleContentControl"/>
                <w:id w:val="1920747753"/>
                <w:lock w:val="sdtContentLocked"/>
                <w:placeholder>
                  <w:docPart w:val="1F98F04DD0B6443690CF9833CEB66E94"/>
                </w:placeholder>
              </w:sdtPr>
              <w:sdtEndPr>
                <w:rPr>
                  <w:rFonts w:cstheme="minorBidi"/>
                  <w:szCs w:val="22"/>
                </w:rPr>
              </w:sdtEndPr>
              <w:sdtContent>
                <w:r>
                  <w:rPr>
                    <w:rFonts w:cs="Times New Roman"/>
                    <w:szCs w:val="24"/>
                  </w:rPr>
                  <w:t>Senate Research Center</w:t>
                </w:r>
              </w:sdtContent>
            </w:sdt>
          </w:p>
        </w:tc>
        <w:tc>
          <w:tcPr>
            <w:tcW w:w="6858" w:type="dxa"/>
          </w:tcPr>
          <w:p w:rsidR="004C5CF3" w:rsidRPr="00FF6471" w:rsidRDefault="004C5CF3" w:rsidP="000F1DF9">
            <w:pPr>
              <w:jc w:val="right"/>
              <w:rPr>
                <w:rFonts w:cs="Times New Roman"/>
                <w:szCs w:val="24"/>
              </w:rPr>
            </w:pPr>
            <w:sdt>
              <w:sdtPr>
                <w:rPr>
                  <w:rFonts w:cs="Times New Roman"/>
                  <w:szCs w:val="24"/>
                </w:rPr>
                <w:alias w:val="Bill Number"/>
                <w:tag w:val="BillNumberOne"/>
                <w:id w:val="-410784069"/>
                <w:lock w:val="sdtContentLocked"/>
                <w:placeholder>
                  <w:docPart w:val="4801F0CE8E584551A046B0B9A0905D79"/>
                </w:placeholder>
              </w:sdtPr>
              <w:sdtContent>
                <w:r>
                  <w:rPr>
                    <w:rFonts w:cs="Times New Roman"/>
                    <w:szCs w:val="24"/>
                  </w:rPr>
                  <w:t>S.B. 5</w:t>
                </w:r>
              </w:sdtContent>
            </w:sdt>
          </w:p>
        </w:tc>
      </w:tr>
      <w:tr w:rsidR="004C5CF3" w:rsidTr="000F1DF9">
        <w:sdt>
          <w:sdtPr>
            <w:rPr>
              <w:rFonts w:cs="Times New Roman"/>
              <w:szCs w:val="24"/>
            </w:rPr>
            <w:alias w:val="TLCNumber"/>
            <w:tag w:val="TLCNumber"/>
            <w:id w:val="-542600604"/>
            <w:lock w:val="sdtLocked"/>
            <w:placeholder>
              <w:docPart w:val="592E6B7916294B608880D11D64687AC5"/>
            </w:placeholder>
          </w:sdtPr>
          <w:sdtContent>
            <w:tc>
              <w:tcPr>
                <w:tcW w:w="2718" w:type="dxa"/>
              </w:tcPr>
              <w:p w:rsidR="004C5CF3" w:rsidRPr="000F1DF9" w:rsidRDefault="004C5CF3" w:rsidP="00C65088">
                <w:pPr>
                  <w:rPr>
                    <w:rFonts w:cs="Times New Roman"/>
                    <w:szCs w:val="24"/>
                  </w:rPr>
                </w:pPr>
                <w:r>
                  <w:rPr>
                    <w:rFonts w:cs="Times New Roman"/>
                    <w:szCs w:val="24"/>
                  </w:rPr>
                  <w:t>88R17159 RDS-F</w:t>
                </w:r>
              </w:p>
            </w:tc>
          </w:sdtContent>
        </w:sdt>
        <w:tc>
          <w:tcPr>
            <w:tcW w:w="6858" w:type="dxa"/>
          </w:tcPr>
          <w:p w:rsidR="004C5CF3" w:rsidRPr="005C2A78" w:rsidRDefault="004C5CF3" w:rsidP="00073EDD">
            <w:pPr>
              <w:jc w:val="right"/>
              <w:rPr>
                <w:rFonts w:cs="Times New Roman"/>
                <w:szCs w:val="24"/>
              </w:rPr>
            </w:pPr>
            <w:sdt>
              <w:sdtPr>
                <w:rPr>
                  <w:rFonts w:cs="Times New Roman"/>
                  <w:szCs w:val="24"/>
                </w:rPr>
                <w:alias w:val="Author Label"/>
                <w:tag w:val="By"/>
                <w:id w:val="72399597"/>
                <w:lock w:val="sdtLocked"/>
                <w:placeholder>
                  <w:docPart w:val="4DE9F0DE85504D4AB5B7CCBE5890FFB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A1C74551F74064AD2DA0620E03D40B"/>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C77E95E1E21348C6A5C460E5938B2089"/>
                </w:placeholder>
                <w:showingPlcHdr/>
              </w:sdtPr>
              <w:sdtContent/>
            </w:sdt>
            <w:sdt>
              <w:sdtPr>
                <w:rPr>
                  <w:rFonts w:cs="Times New Roman"/>
                  <w:szCs w:val="24"/>
                </w:rPr>
                <w:alias w:val="DualSponsor"/>
                <w:tag w:val="DualSponsor"/>
                <w:id w:val="1029379812"/>
                <w:lock w:val="sdtContentLocked"/>
                <w:placeholder>
                  <w:docPart w:val="BD6161A2C9AC40DBA14AF202352BD178"/>
                </w:placeholder>
                <w:showingPlcHdr/>
              </w:sdtPr>
              <w:sdtContent/>
            </w:sdt>
          </w:p>
        </w:tc>
      </w:tr>
      <w:tr w:rsidR="004C5CF3" w:rsidTr="000F1DF9">
        <w:tc>
          <w:tcPr>
            <w:tcW w:w="2718" w:type="dxa"/>
          </w:tcPr>
          <w:p w:rsidR="004C5CF3" w:rsidRPr="00BC7495" w:rsidRDefault="004C5CF3" w:rsidP="000F1DF9">
            <w:pPr>
              <w:rPr>
                <w:rFonts w:cs="Times New Roman"/>
                <w:szCs w:val="24"/>
              </w:rPr>
            </w:pPr>
          </w:p>
        </w:tc>
        <w:sdt>
          <w:sdtPr>
            <w:rPr>
              <w:rFonts w:cs="Times New Roman"/>
              <w:szCs w:val="24"/>
            </w:rPr>
            <w:alias w:val="Committee"/>
            <w:tag w:val="Committee"/>
            <w:id w:val="1914272295"/>
            <w:lock w:val="sdtContentLocked"/>
            <w:placeholder>
              <w:docPart w:val="13D0A6A4051947D08E915D274AF5553D"/>
            </w:placeholder>
          </w:sdtPr>
          <w:sdtContent>
            <w:tc>
              <w:tcPr>
                <w:tcW w:w="6858" w:type="dxa"/>
              </w:tcPr>
              <w:p w:rsidR="004C5CF3" w:rsidRPr="00FF6471" w:rsidRDefault="004C5CF3" w:rsidP="000F1DF9">
                <w:pPr>
                  <w:jc w:val="right"/>
                  <w:rPr>
                    <w:rFonts w:cs="Times New Roman"/>
                    <w:szCs w:val="24"/>
                  </w:rPr>
                </w:pPr>
                <w:r>
                  <w:rPr>
                    <w:rFonts w:cs="Times New Roman"/>
                    <w:szCs w:val="24"/>
                  </w:rPr>
                  <w:t>Finance</w:t>
                </w:r>
              </w:p>
            </w:tc>
          </w:sdtContent>
        </w:sdt>
      </w:tr>
      <w:tr w:rsidR="004C5CF3" w:rsidTr="000F1DF9">
        <w:tc>
          <w:tcPr>
            <w:tcW w:w="2718" w:type="dxa"/>
          </w:tcPr>
          <w:p w:rsidR="004C5CF3" w:rsidRPr="00BC7495" w:rsidRDefault="004C5CF3" w:rsidP="000F1DF9">
            <w:pPr>
              <w:rPr>
                <w:rFonts w:cs="Times New Roman"/>
                <w:szCs w:val="24"/>
              </w:rPr>
            </w:pPr>
          </w:p>
        </w:tc>
        <w:sdt>
          <w:sdtPr>
            <w:rPr>
              <w:rFonts w:cs="Times New Roman"/>
              <w:szCs w:val="24"/>
            </w:rPr>
            <w:alias w:val="Date"/>
            <w:tag w:val="DateContentControl"/>
            <w:id w:val="1178081906"/>
            <w:lock w:val="sdtLocked"/>
            <w:placeholder>
              <w:docPart w:val="32048BD911254AF490032E943C537540"/>
            </w:placeholder>
            <w:date w:fullDate="2023-03-13T00:00:00Z">
              <w:dateFormat w:val="M/d/yyyy"/>
              <w:lid w:val="en-US"/>
              <w:storeMappedDataAs w:val="dateTime"/>
              <w:calendar w:val="gregorian"/>
            </w:date>
          </w:sdtPr>
          <w:sdtContent>
            <w:tc>
              <w:tcPr>
                <w:tcW w:w="6858" w:type="dxa"/>
              </w:tcPr>
              <w:p w:rsidR="004C5CF3" w:rsidRPr="00FF6471" w:rsidRDefault="004C5CF3" w:rsidP="000F1DF9">
                <w:pPr>
                  <w:jc w:val="right"/>
                  <w:rPr>
                    <w:rFonts w:cs="Times New Roman"/>
                    <w:szCs w:val="24"/>
                  </w:rPr>
                </w:pPr>
                <w:r>
                  <w:rPr>
                    <w:rFonts w:cs="Times New Roman"/>
                    <w:szCs w:val="24"/>
                  </w:rPr>
                  <w:t>3/13/2023</w:t>
                </w:r>
              </w:p>
            </w:tc>
          </w:sdtContent>
        </w:sdt>
      </w:tr>
      <w:tr w:rsidR="004C5CF3" w:rsidTr="000F1DF9">
        <w:tc>
          <w:tcPr>
            <w:tcW w:w="2718" w:type="dxa"/>
          </w:tcPr>
          <w:p w:rsidR="004C5CF3" w:rsidRPr="00BC7495" w:rsidRDefault="004C5CF3" w:rsidP="000F1DF9">
            <w:pPr>
              <w:rPr>
                <w:rFonts w:cs="Times New Roman"/>
                <w:szCs w:val="24"/>
              </w:rPr>
            </w:pPr>
          </w:p>
        </w:tc>
        <w:sdt>
          <w:sdtPr>
            <w:rPr>
              <w:rFonts w:cs="Times New Roman"/>
              <w:szCs w:val="24"/>
            </w:rPr>
            <w:alias w:val="BA Version"/>
            <w:tag w:val="BAVersion"/>
            <w:id w:val="-1685590809"/>
            <w:lock w:val="sdtContentLocked"/>
            <w:placeholder>
              <w:docPart w:val="A43ADB1E98284912A1FDC6E931FA06FE"/>
            </w:placeholder>
          </w:sdtPr>
          <w:sdtContent>
            <w:tc>
              <w:tcPr>
                <w:tcW w:w="6858" w:type="dxa"/>
              </w:tcPr>
              <w:p w:rsidR="004C5CF3" w:rsidRPr="00FF6471" w:rsidRDefault="004C5CF3" w:rsidP="000F1DF9">
                <w:pPr>
                  <w:jc w:val="right"/>
                  <w:rPr>
                    <w:rFonts w:cs="Times New Roman"/>
                    <w:szCs w:val="24"/>
                  </w:rPr>
                </w:pPr>
                <w:r>
                  <w:rPr>
                    <w:rFonts w:cs="Times New Roman"/>
                    <w:szCs w:val="24"/>
                  </w:rPr>
                  <w:t>As Filed</w:t>
                </w:r>
              </w:p>
            </w:tc>
          </w:sdtContent>
        </w:sdt>
      </w:tr>
    </w:tbl>
    <w:p w:rsidR="004C5CF3" w:rsidRPr="00FF6471" w:rsidRDefault="004C5CF3" w:rsidP="000F1DF9">
      <w:pPr>
        <w:spacing w:after="0" w:line="240" w:lineRule="auto"/>
        <w:rPr>
          <w:rFonts w:cs="Times New Roman"/>
          <w:szCs w:val="24"/>
        </w:rPr>
      </w:pPr>
    </w:p>
    <w:p w:rsidR="004C5CF3" w:rsidRPr="00FF6471" w:rsidRDefault="004C5CF3" w:rsidP="000F1DF9">
      <w:pPr>
        <w:spacing w:after="0" w:line="240" w:lineRule="auto"/>
        <w:rPr>
          <w:rFonts w:cs="Times New Roman"/>
          <w:szCs w:val="24"/>
        </w:rPr>
      </w:pPr>
    </w:p>
    <w:p w:rsidR="004C5CF3" w:rsidRPr="00FF6471" w:rsidRDefault="004C5C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6E35361C9774BC6BBC8E515A243A3BD"/>
        </w:placeholder>
      </w:sdtPr>
      <w:sdtContent>
        <w:p w:rsidR="004C5CF3" w:rsidRDefault="004C5C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E1E73C622B4ABF832DBAF600D5B611"/>
        </w:placeholder>
      </w:sdtPr>
      <w:sdtContent>
        <w:p w:rsidR="004C5CF3" w:rsidRDefault="004C5CF3" w:rsidP="009F21B7">
          <w:pPr>
            <w:pStyle w:val="NormalWeb"/>
            <w:spacing w:before="0" w:beforeAutospacing="0" w:after="0" w:afterAutospacing="0"/>
            <w:jc w:val="both"/>
            <w:divId w:val="1060326086"/>
            <w:rPr>
              <w:rFonts w:eastAsia="Times New Roman"/>
              <w:bCs/>
            </w:rPr>
          </w:pPr>
        </w:p>
        <w:p w:rsidR="004C5CF3" w:rsidRPr="00DB5A28" w:rsidRDefault="004C5CF3" w:rsidP="009F21B7">
          <w:pPr>
            <w:pStyle w:val="NormalWeb"/>
            <w:spacing w:before="0" w:beforeAutospacing="0" w:after="0" w:afterAutospacing="0"/>
            <w:jc w:val="both"/>
            <w:divId w:val="1060326086"/>
          </w:pPr>
          <w:r w:rsidRPr="00DB5A28">
            <w:t>S.B. 5 will provide for an increases to the business personal property exemption from a $2,500 de minimis exemption to a $25,000 universal exemption. All businesses in Texas would therefore see a reduction of their ad valorem taxation paid for income</w:t>
          </w:r>
          <w:r>
            <w:t>-</w:t>
          </w:r>
          <w:r w:rsidRPr="00DB5A28">
            <w:t>producing tangible personal property.</w:t>
          </w:r>
        </w:p>
        <w:p w:rsidR="004C5CF3" w:rsidRPr="00DB5A28" w:rsidRDefault="004C5CF3" w:rsidP="009F21B7">
          <w:pPr>
            <w:pStyle w:val="NormalWeb"/>
            <w:spacing w:before="0" w:beforeAutospacing="0" w:after="0" w:afterAutospacing="0"/>
            <w:jc w:val="both"/>
            <w:divId w:val="1060326086"/>
          </w:pPr>
          <w:r w:rsidRPr="00DB5A28">
            <w:t> </w:t>
          </w:r>
        </w:p>
        <w:p w:rsidR="004C5CF3" w:rsidRPr="00DB5A28" w:rsidRDefault="004C5CF3" w:rsidP="009F21B7">
          <w:pPr>
            <w:pStyle w:val="NormalWeb"/>
            <w:spacing w:before="0" w:beforeAutospacing="0" w:after="0" w:afterAutospacing="0"/>
            <w:jc w:val="both"/>
            <w:divId w:val="1060326086"/>
          </w:pPr>
          <w:r w:rsidRPr="00DB5A28">
            <w:t>S.B. 5 will also provide eligible taxable entities a credit equal to 20% of the amount of ad valorem taxes paid during the period on which the report is based, that are derived from the taxable value of the inventory owned by the entity and located in Texas, but not to exceed 20% of the amount of franchise tax due after other applicable credits have been applied.</w:t>
          </w:r>
        </w:p>
        <w:p w:rsidR="004C5CF3" w:rsidRPr="00DB5A28" w:rsidRDefault="004C5CF3" w:rsidP="009F21B7">
          <w:pPr>
            <w:pStyle w:val="NormalWeb"/>
            <w:spacing w:before="0" w:beforeAutospacing="0" w:after="0" w:afterAutospacing="0"/>
            <w:jc w:val="both"/>
            <w:divId w:val="1060326086"/>
          </w:pPr>
          <w:r w:rsidRPr="00DB5A28">
            <w:t> </w:t>
          </w:r>
        </w:p>
        <w:p w:rsidR="004C5CF3" w:rsidRPr="00DB5A28" w:rsidRDefault="004C5CF3" w:rsidP="009F21B7">
          <w:pPr>
            <w:pStyle w:val="NormalWeb"/>
            <w:spacing w:before="0" w:beforeAutospacing="0" w:after="0" w:afterAutospacing="0"/>
            <w:jc w:val="both"/>
            <w:divId w:val="1060326086"/>
          </w:pPr>
          <w:r w:rsidRPr="00DB5A28">
            <w:t>The total amount of credits that may be awarded under this subchapter in a state fiscal year is limited to $400 million. If a taxable entity is eligible for a credit that exceeds the limitation, it may carry the unused credit forward for up to five consecutive reports. However, a carryforward is considered the remaining portion of a credit that cannot be claimed in the current year because of the limitation. The comptroller would be responsible for allocating the amount of credits available on a first-come, first-served basis, based on the date the entity applies for the credit.</w:t>
          </w:r>
        </w:p>
        <w:p w:rsidR="004C5CF3" w:rsidRPr="00D70925" w:rsidRDefault="004C5CF3" w:rsidP="009F21B7">
          <w:pPr>
            <w:spacing w:after="0" w:line="240" w:lineRule="auto"/>
            <w:jc w:val="both"/>
            <w:rPr>
              <w:rFonts w:eastAsia="Times New Roman" w:cs="Times New Roman"/>
              <w:bCs/>
              <w:szCs w:val="24"/>
            </w:rPr>
          </w:pPr>
        </w:p>
      </w:sdtContent>
    </w:sdt>
    <w:p w:rsidR="004C5CF3" w:rsidRDefault="004C5C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 </w:t>
      </w:r>
      <w:bookmarkStart w:id="1" w:name="AmendsCurrentLaw"/>
      <w:bookmarkEnd w:id="1"/>
      <w:r>
        <w:rPr>
          <w:rFonts w:cs="Times New Roman"/>
          <w:szCs w:val="24"/>
        </w:rPr>
        <w:t>amends current law relating to an exemption from ad valorem taxation of a portion of the appraised value of tangible personal property a person owns that is held or used for the production of income and a franchise tax credit for the payment of certain related ad valorem taxes.</w:t>
      </w:r>
    </w:p>
    <w:p w:rsidR="004C5CF3" w:rsidRPr="009D0CA5" w:rsidRDefault="004C5CF3" w:rsidP="000F1DF9">
      <w:pPr>
        <w:spacing w:after="0" w:line="240" w:lineRule="auto"/>
        <w:jc w:val="both"/>
        <w:rPr>
          <w:rFonts w:eastAsia="Times New Roman" w:cs="Times New Roman"/>
          <w:szCs w:val="24"/>
        </w:rPr>
      </w:pPr>
    </w:p>
    <w:p w:rsidR="004C5CF3" w:rsidRPr="005C2A78" w:rsidRDefault="004C5C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0284AFD01E4E7EAD10239F3E45C805"/>
          </w:placeholder>
        </w:sdtPr>
        <w:sdtContent>
          <w:r>
            <w:rPr>
              <w:rFonts w:eastAsia="Times New Roman" w:cs="Times New Roman"/>
              <w:b/>
              <w:szCs w:val="24"/>
              <w:u w:val="single"/>
            </w:rPr>
            <w:t>RULEMAKING AUTHORITY</w:t>
          </w:r>
        </w:sdtContent>
      </w:sdt>
    </w:p>
    <w:p w:rsidR="004C5CF3" w:rsidRPr="006529C4" w:rsidRDefault="004C5CF3" w:rsidP="00774EC7">
      <w:pPr>
        <w:spacing w:after="0" w:line="240" w:lineRule="auto"/>
        <w:jc w:val="both"/>
        <w:rPr>
          <w:rFonts w:cs="Times New Roman"/>
          <w:szCs w:val="24"/>
        </w:rPr>
      </w:pPr>
    </w:p>
    <w:p w:rsidR="004C5CF3" w:rsidRPr="006529C4" w:rsidRDefault="004C5CF3" w:rsidP="00774EC7">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2.01 (Sections 171.703 and 171.707, Tax Code) of this bill.</w:t>
      </w:r>
    </w:p>
    <w:p w:rsidR="004C5CF3" w:rsidRPr="006529C4" w:rsidRDefault="004C5CF3"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469B9923A64A45979E3C0D92878A30DB"/>
        </w:placeholder>
      </w:sdtPr>
      <w:sdtContent>
        <w:p w:rsidR="004C5CF3" w:rsidRPr="005C2A78" w:rsidRDefault="004C5CF3" w:rsidP="00A32C7B">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4C5CF3"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jc w:val="center"/>
        <w:rPr>
          <w:rFonts w:eastAsia="Times New Roman" w:cs="Times New Roman"/>
          <w:szCs w:val="24"/>
        </w:rPr>
      </w:pPr>
      <w:r>
        <w:rPr>
          <w:rFonts w:eastAsia="Times New Roman" w:cs="Times New Roman"/>
          <w:szCs w:val="24"/>
        </w:rPr>
        <w:t>ARTICLE 1. INCOME-PRODUCING TANGIBLE PERSONAL PROPERTY AD VALOREM TAX EXEMPTION</w:t>
      </w:r>
    </w:p>
    <w:p w:rsidR="004C5CF3" w:rsidRPr="005C2A78"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01. Amends the heading to Section 11.145, Tax Code, to read as follows: </w:t>
      </w:r>
    </w:p>
    <w:p w:rsidR="004C5CF3"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ind w:left="720"/>
        <w:jc w:val="both"/>
        <w:rPr>
          <w:rFonts w:eastAsia="Times New Roman" w:cs="Times New Roman"/>
          <w:szCs w:val="24"/>
        </w:rPr>
      </w:pPr>
      <w:r>
        <w:rPr>
          <w:rFonts w:eastAsia="Times New Roman" w:cs="Times New Roman"/>
          <w:szCs w:val="24"/>
        </w:rPr>
        <w:t xml:space="preserve">Sec. 11.145. INCOME-PRODUCING TANGIBLE PERSONAL PROPERTY. </w:t>
      </w:r>
    </w:p>
    <w:p w:rsidR="004C5CF3" w:rsidRDefault="004C5CF3" w:rsidP="00A32C7B">
      <w:pPr>
        <w:spacing w:after="0" w:line="240" w:lineRule="auto"/>
        <w:ind w:left="720"/>
        <w:jc w:val="both"/>
        <w:rPr>
          <w:rFonts w:eastAsia="Times New Roman" w:cs="Times New Roman"/>
          <w:szCs w:val="24"/>
        </w:rPr>
      </w:pPr>
    </w:p>
    <w:p w:rsidR="004C5CF3" w:rsidRDefault="004C5CF3" w:rsidP="00A32C7B">
      <w:pPr>
        <w:spacing w:after="0" w:line="240" w:lineRule="auto"/>
        <w:jc w:val="both"/>
        <w:rPr>
          <w:rFonts w:eastAsia="Times New Roman" w:cs="Times New Roman"/>
          <w:szCs w:val="24"/>
        </w:rPr>
      </w:pPr>
      <w:r>
        <w:rPr>
          <w:rFonts w:eastAsia="Times New Roman" w:cs="Times New Roman"/>
          <w:szCs w:val="24"/>
        </w:rPr>
        <w:t xml:space="preserve">SECTION 1.02. Amends Section 11.145(a), Tax Code, as follows: </w:t>
      </w:r>
    </w:p>
    <w:p w:rsidR="004C5CF3"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ind w:left="720"/>
        <w:jc w:val="both"/>
        <w:rPr>
          <w:rFonts w:eastAsia="Times New Roman" w:cs="Times New Roman"/>
          <w:szCs w:val="24"/>
        </w:rPr>
      </w:pPr>
      <w:r>
        <w:rPr>
          <w:rFonts w:eastAsia="Times New Roman" w:cs="Times New Roman"/>
          <w:szCs w:val="24"/>
        </w:rPr>
        <w:t xml:space="preserve">(a) Provides that a person is </w:t>
      </w:r>
      <w:r w:rsidRPr="009D0CA5">
        <w:rPr>
          <w:rFonts w:eastAsia="Times New Roman" w:cs="Times New Roman"/>
          <w:szCs w:val="24"/>
        </w:rPr>
        <w:t>entitled to an exemption from taxation of $25,000 of the appraised value of tangible personal property the person owns that is held or used for the production of income</w:t>
      </w:r>
      <w:r>
        <w:rPr>
          <w:rFonts w:eastAsia="Times New Roman" w:cs="Times New Roman"/>
          <w:szCs w:val="24"/>
        </w:rPr>
        <w:t xml:space="preserve">. Deletes existing text providing that a person </w:t>
      </w:r>
      <w:r w:rsidRPr="009D0CA5">
        <w:rPr>
          <w:rFonts w:eastAsia="Times New Roman" w:cs="Times New Roman"/>
          <w:szCs w:val="24"/>
        </w:rPr>
        <w:t>is entitled to an exemption from taxation of</w:t>
      </w:r>
      <w:r>
        <w:rPr>
          <w:rFonts w:eastAsia="Times New Roman" w:cs="Times New Roman"/>
          <w:szCs w:val="24"/>
        </w:rPr>
        <w:t xml:space="preserve"> the </w:t>
      </w:r>
      <w:r w:rsidRPr="009D0CA5">
        <w:rPr>
          <w:rFonts w:eastAsia="Times New Roman" w:cs="Times New Roman"/>
          <w:szCs w:val="24"/>
        </w:rPr>
        <w:t>tangible personal property the person owns that is held or used for the production of income if that property has a taxable value of less than $2,500.</w:t>
      </w:r>
    </w:p>
    <w:p w:rsidR="004C5CF3" w:rsidRDefault="004C5CF3" w:rsidP="00A32C7B">
      <w:pPr>
        <w:spacing w:after="0" w:line="240" w:lineRule="auto"/>
        <w:ind w:left="720"/>
        <w:jc w:val="both"/>
        <w:rPr>
          <w:rFonts w:eastAsia="Times New Roman" w:cs="Times New Roman"/>
          <w:szCs w:val="24"/>
        </w:rPr>
      </w:pPr>
    </w:p>
    <w:p w:rsidR="004C5CF3" w:rsidRDefault="004C5CF3" w:rsidP="00A32C7B">
      <w:pPr>
        <w:spacing w:after="0" w:line="240" w:lineRule="auto"/>
        <w:jc w:val="both"/>
        <w:rPr>
          <w:rFonts w:eastAsia="Times New Roman" w:cs="Times New Roman"/>
          <w:szCs w:val="24"/>
        </w:rPr>
      </w:pPr>
      <w:r>
        <w:rPr>
          <w:rFonts w:eastAsia="Times New Roman" w:cs="Times New Roman"/>
          <w:szCs w:val="24"/>
        </w:rPr>
        <w:t xml:space="preserve">SECTION 1.03. Amends Section 22.01, Tax Code, by adding Subsection (j-1), as follows: </w:t>
      </w:r>
    </w:p>
    <w:p w:rsidR="004C5CF3"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ind w:left="720"/>
        <w:jc w:val="both"/>
        <w:rPr>
          <w:rFonts w:eastAsia="Times New Roman" w:cs="Times New Roman"/>
          <w:szCs w:val="24"/>
        </w:rPr>
      </w:pPr>
      <w:r>
        <w:rPr>
          <w:rFonts w:eastAsia="Times New Roman" w:cs="Times New Roman"/>
          <w:szCs w:val="24"/>
        </w:rPr>
        <w:t xml:space="preserve">(j-1) Provides that a </w:t>
      </w:r>
      <w:r w:rsidRPr="009D0CA5">
        <w:rPr>
          <w:rFonts w:eastAsia="Times New Roman" w:cs="Times New Roman"/>
          <w:szCs w:val="24"/>
        </w:rPr>
        <w:t xml:space="preserve">person is required to render tangible personal property the person owns that is held or used for the production of income only if, in the person's opinion, the aggregate market value of the property in at least one taxing unit that participates in the appraisal district is greater than the amount exempted under Section 11.145(a). </w:t>
      </w:r>
      <w:r>
        <w:rPr>
          <w:rFonts w:eastAsia="Times New Roman" w:cs="Times New Roman"/>
          <w:szCs w:val="24"/>
        </w:rPr>
        <w:t xml:space="preserve">Requires a </w:t>
      </w:r>
      <w:r w:rsidRPr="009D0CA5">
        <w:rPr>
          <w:rFonts w:eastAsia="Times New Roman" w:cs="Times New Roman"/>
          <w:szCs w:val="24"/>
        </w:rPr>
        <w:t xml:space="preserve">person required to render property for taxation under this subsection </w:t>
      </w:r>
      <w:r>
        <w:rPr>
          <w:rFonts w:eastAsia="Times New Roman" w:cs="Times New Roman"/>
          <w:szCs w:val="24"/>
        </w:rPr>
        <w:t>to</w:t>
      </w:r>
      <w:r w:rsidRPr="009D0CA5">
        <w:rPr>
          <w:rFonts w:eastAsia="Times New Roman" w:cs="Times New Roman"/>
          <w:szCs w:val="24"/>
        </w:rPr>
        <w:t xml:space="preserve"> render all tangible personal property the person owns that is held or used for the production of income and has taxable situs in the appraisal district.</w:t>
      </w:r>
      <w:r>
        <w:rPr>
          <w:rFonts w:eastAsia="Times New Roman" w:cs="Times New Roman"/>
          <w:szCs w:val="24"/>
        </w:rPr>
        <w:t xml:space="preserve"> Provides that this </w:t>
      </w:r>
      <w:r w:rsidRPr="009D0CA5">
        <w:rPr>
          <w:rFonts w:eastAsia="Times New Roman" w:cs="Times New Roman"/>
          <w:szCs w:val="24"/>
        </w:rPr>
        <w:t>subsection does not apply to property exempt from taxation under a provision of law other than Section 11.145.</w:t>
      </w:r>
    </w:p>
    <w:p w:rsidR="004C5CF3" w:rsidRDefault="004C5CF3" w:rsidP="00A32C7B">
      <w:pPr>
        <w:spacing w:after="0" w:line="240" w:lineRule="auto"/>
        <w:ind w:left="720"/>
        <w:jc w:val="both"/>
        <w:rPr>
          <w:rFonts w:eastAsia="Times New Roman" w:cs="Times New Roman"/>
          <w:szCs w:val="24"/>
        </w:rPr>
      </w:pPr>
    </w:p>
    <w:p w:rsidR="004C5CF3" w:rsidRDefault="004C5CF3" w:rsidP="00A32C7B">
      <w:pPr>
        <w:spacing w:after="0" w:line="240" w:lineRule="auto"/>
        <w:jc w:val="both"/>
        <w:rPr>
          <w:rFonts w:eastAsia="Times New Roman" w:cs="Times New Roman"/>
          <w:szCs w:val="24"/>
        </w:rPr>
      </w:pPr>
      <w:r>
        <w:rPr>
          <w:rFonts w:eastAsia="Times New Roman" w:cs="Times New Roman"/>
          <w:szCs w:val="24"/>
        </w:rPr>
        <w:t>SECTION 1.04. Makes application of this article prospective.</w:t>
      </w:r>
    </w:p>
    <w:p w:rsidR="004C5CF3"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jc w:val="both"/>
        <w:rPr>
          <w:rFonts w:eastAsia="Times New Roman" w:cs="Times New Roman"/>
          <w:szCs w:val="24"/>
        </w:rPr>
      </w:pPr>
      <w:r>
        <w:rPr>
          <w:rFonts w:eastAsia="Times New Roman" w:cs="Times New Roman"/>
          <w:szCs w:val="24"/>
        </w:rPr>
        <w:t xml:space="preserve">SECTION 1.05. Effective date, this article: January 1, 2024, contingent upon approval by the voters of the </w:t>
      </w:r>
      <w:r w:rsidRPr="009D0CA5">
        <w:rPr>
          <w:rFonts w:eastAsia="Times New Roman" w:cs="Times New Roman"/>
          <w:szCs w:val="24"/>
        </w:rPr>
        <w:t>constitutional amendment proposed by the 88th Legislature, Regular Session, 2023, to authorize the legislature to exempt from ad valorem taxation a portion of the market value of tangible personal property a person owns that is held or used for the production of income</w:t>
      </w:r>
      <w:r>
        <w:rPr>
          <w:rFonts w:eastAsia="Times New Roman" w:cs="Times New Roman"/>
          <w:szCs w:val="24"/>
        </w:rPr>
        <w:t>.</w:t>
      </w:r>
    </w:p>
    <w:p w:rsidR="004C5CF3" w:rsidRDefault="004C5CF3" w:rsidP="00A32C7B">
      <w:pPr>
        <w:spacing w:after="0" w:line="240" w:lineRule="auto"/>
        <w:jc w:val="both"/>
        <w:rPr>
          <w:rFonts w:eastAsia="Times New Roman" w:cs="Times New Roman"/>
          <w:szCs w:val="24"/>
        </w:rPr>
      </w:pPr>
    </w:p>
    <w:p w:rsidR="004C5CF3" w:rsidRPr="005C2A78" w:rsidRDefault="004C5CF3" w:rsidP="00A32C7B">
      <w:pPr>
        <w:spacing w:after="0" w:line="240" w:lineRule="auto"/>
        <w:jc w:val="center"/>
        <w:rPr>
          <w:rFonts w:eastAsia="Times New Roman" w:cs="Times New Roman"/>
          <w:szCs w:val="24"/>
        </w:rPr>
      </w:pPr>
      <w:r>
        <w:rPr>
          <w:rFonts w:eastAsia="Times New Roman" w:cs="Times New Roman"/>
          <w:szCs w:val="24"/>
        </w:rPr>
        <w:t>ARTICLE 2. FRANCHISE TAX CREDIT FOR INVENTORY AD VALOREM TAX LIABILITY</w:t>
      </w:r>
    </w:p>
    <w:p w:rsidR="004C5CF3" w:rsidRPr="005C2A78"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01. Amends Chapter 171, Tax Code, by adding Subchapter N, as follows: </w:t>
      </w:r>
    </w:p>
    <w:p w:rsidR="004C5CF3"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jc w:val="center"/>
        <w:rPr>
          <w:rFonts w:eastAsia="Times New Roman" w:cs="Times New Roman"/>
          <w:szCs w:val="24"/>
        </w:rPr>
      </w:pPr>
      <w:r>
        <w:rPr>
          <w:rFonts w:eastAsia="Times New Roman" w:cs="Times New Roman"/>
          <w:szCs w:val="24"/>
        </w:rPr>
        <w:t>SUBCHAPTER N. TAX CREDIT FOR INVENTORY TAX LIABILITY</w:t>
      </w:r>
    </w:p>
    <w:p w:rsidR="004C5CF3" w:rsidRDefault="004C5CF3" w:rsidP="00A32C7B">
      <w:pPr>
        <w:spacing w:after="0" w:line="240" w:lineRule="auto"/>
        <w:jc w:val="center"/>
        <w:rPr>
          <w:rFonts w:eastAsia="Times New Roman" w:cs="Times New Roman"/>
          <w:szCs w:val="24"/>
        </w:rPr>
      </w:pPr>
    </w:p>
    <w:p w:rsidR="004C5CF3" w:rsidRDefault="004C5CF3" w:rsidP="00A32C7B">
      <w:pPr>
        <w:spacing w:after="0" w:line="240" w:lineRule="auto"/>
        <w:ind w:left="720"/>
        <w:jc w:val="both"/>
        <w:rPr>
          <w:rFonts w:eastAsia="Times New Roman" w:cs="Times New Roman"/>
          <w:szCs w:val="24"/>
        </w:rPr>
      </w:pPr>
      <w:r>
        <w:rPr>
          <w:rFonts w:eastAsia="Times New Roman" w:cs="Times New Roman"/>
          <w:szCs w:val="24"/>
        </w:rPr>
        <w:t>Sec. 171.701. DEFINITION. Defines "inventory."</w:t>
      </w:r>
    </w:p>
    <w:p w:rsidR="004C5CF3" w:rsidRDefault="004C5CF3" w:rsidP="00A32C7B">
      <w:pPr>
        <w:spacing w:after="0" w:line="240" w:lineRule="auto"/>
        <w:ind w:left="720"/>
        <w:jc w:val="both"/>
        <w:rPr>
          <w:rFonts w:eastAsia="Times New Roman" w:cs="Times New Roman"/>
          <w:szCs w:val="24"/>
        </w:rPr>
      </w:pPr>
    </w:p>
    <w:p w:rsidR="004C5CF3" w:rsidRDefault="004C5CF3" w:rsidP="00A32C7B">
      <w:pPr>
        <w:spacing w:after="0" w:line="240" w:lineRule="auto"/>
        <w:ind w:left="720"/>
        <w:jc w:val="both"/>
        <w:rPr>
          <w:rFonts w:eastAsia="Times New Roman" w:cs="Times New Roman"/>
          <w:szCs w:val="24"/>
        </w:rPr>
      </w:pPr>
      <w:r>
        <w:rPr>
          <w:rFonts w:eastAsia="Times New Roman" w:cs="Times New Roman"/>
          <w:szCs w:val="24"/>
        </w:rPr>
        <w:t xml:space="preserve">Sec. 171.702. ELIGIBILITY FOR CREDIT. Provides that a </w:t>
      </w:r>
      <w:r w:rsidRPr="009D0CA5">
        <w:rPr>
          <w:rFonts w:eastAsia="Times New Roman" w:cs="Times New Roman"/>
          <w:szCs w:val="24"/>
        </w:rPr>
        <w:t xml:space="preserve">taxable entity is entitled to a credit in the amount and under the conditions provided by this subchapter against the tax imposed under </w:t>
      </w:r>
      <w:r>
        <w:rPr>
          <w:rFonts w:eastAsia="Times New Roman" w:cs="Times New Roman"/>
          <w:szCs w:val="24"/>
        </w:rPr>
        <w:t>C</w:t>
      </w:r>
      <w:r w:rsidRPr="009D0CA5">
        <w:rPr>
          <w:rFonts w:eastAsia="Times New Roman" w:cs="Times New Roman"/>
          <w:szCs w:val="24"/>
        </w:rPr>
        <w:t>hapter</w:t>
      </w:r>
      <w:r>
        <w:rPr>
          <w:rFonts w:eastAsia="Times New Roman" w:cs="Times New Roman"/>
          <w:szCs w:val="24"/>
        </w:rPr>
        <w:t xml:space="preserve"> 171 (Franchise Tax)</w:t>
      </w:r>
      <w:r w:rsidRPr="009D0CA5">
        <w:rPr>
          <w:rFonts w:eastAsia="Times New Roman" w:cs="Times New Roman"/>
          <w:szCs w:val="24"/>
        </w:rPr>
        <w:t>.</w:t>
      </w:r>
    </w:p>
    <w:p w:rsidR="004C5CF3" w:rsidRDefault="004C5CF3" w:rsidP="00A32C7B">
      <w:pPr>
        <w:spacing w:after="0" w:line="240" w:lineRule="auto"/>
        <w:ind w:left="720"/>
        <w:jc w:val="both"/>
        <w:rPr>
          <w:rFonts w:eastAsia="Times New Roman" w:cs="Times New Roman"/>
          <w:szCs w:val="24"/>
        </w:rPr>
      </w:pPr>
    </w:p>
    <w:p w:rsidR="004C5CF3" w:rsidRDefault="004C5CF3" w:rsidP="00A32C7B">
      <w:pPr>
        <w:spacing w:after="0" w:line="240" w:lineRule="auto"/>
        <w:ind w:left="720"/>
        <w:jc w:val="both"/>
        <w:rPr>
          <w:rFonts w:eastAsia="Times New Roman" w:cs="Times New Roman"/>
          <w:szCs w:val="24"/>
        </w:rPr>
      </w:pPr>
      <w:r>
        <w:rPr>
          <w:rFonts w:eastAsia="Times New Roman" w:cs="Times New Roman"/>
          <w:szCs w:val="24"/>
        </w:rPr>
        <w:t xml:space="preserve">Sec. 171.703. AMOUNT OF CREDIT; LIMITATIONS. (a) Provides that </w:t>
      </w:r>
      <w:r w:rsidRPr="009D0CA5">
        <w:rPr>
          <w:rFonts w:eastAsia="Times New Roman" w:cs="Times New Roman"/>
          <w:szCs w:val="24"/>
        </w:rPr>
        <w:t>the amount of a taxable entity's credit for a report</w:t>
      </w:r>
      <w:r>
        <w:rPr>
          <w:rFonts w:eastAsia="Times New Roman" w:cs="Times New Roman"/>
          <w:szCs w:val="24"/>
        </w:rPr>
        <w:t xml:space="preserve">, subject </w:t>
      </w:r>
      <w:r w:rsidRPr="009D0CA5">
        <w:rPr>
          <w:rFonts w:eastAsia="Times New Roman" w:cs="Times New Roman"/>
          <w:szCs w:val="24"/>
        </w:rPr>
        <w:t>to Subsections (b) and (c), is equal to 20 percent of the amount of ad valorem taxes paid by the entity during the period on which the report is based that are derived from the taxable value of the inventory owned by the entity and located in this state.</w:t>
      </w:r>
    </w:p>
    <w:p w:rsidR="004C5CF3" w:rsidRDefault="004C5CF3" w:rsidP="00A32C7B">
      <w:pPr>
        <w:spacing w:after="0" w:line="240" w:lineRule="auto"/>
        <w:ind w:left="720"/>
        <w:jc w:val="both"/>
        <w:rPr>
          <w:rFonts w:eastAsia="Times New Roman" w:cs="Times New Roman"/>
          <w:szCs w:val="24"/>
        </w:rPr>
      </w:pPr>
    </w:p>
    <w:p w:rsidR="004C5CF3" w:rsidRDefault="004C5CF3" w:rsidP="00A32C7B">
      <w:pPr>
        <w:spacing w:after="0" w:line="240" w:lineRule="auto"/>
        <w:ind w:left="1440"/>
        <w:jc w:val="both"/>
        <w:rPr>
          <w:rFonts w:eastAsia="Times New Roman" w:cs="Times New Roman"/>
          <w:szCs w:val="24"/>
        </w:rPr>
      </w:pPr>
      <w:r>
        <w:rPr>
          <w:rFonts w:eastAsia="Times New Roman" w:cs="Times New Roman"/>
          <w:szCs w:val="24"/>
        </w:rPr>
        <w:t xml:space="preserve">(b) Prohibits the </w:t>
      </w:r>
      <w:r w:rsidRPr="009D0CA5">
        <w:rPr>
          <w:rFonts w:eastAsia="Times New Roman" w:cs="Times New Roman"/>
          <w:szCs w:val="24"/>
        </w:rPr>
        <w:t xml:space="preserve">total credit claimed on a report, including the amount of any carryforward under Section 171.704, </w:t>
      </w:r>
      <w:r>
        <w:rPr>
          <w:rFonts w:eastAsia="Times New Roman" w:cs="Times New Roman"/>
          <w:szCs w:val="24"/>
        </w:rPr>
        <w:t>from exceeding</w:t>
      </w:r>
      <w:r w:rsidRPr="009D0CA5">
        <w:rPr>
          <w:rFonts w:eastAsia="Times New Roman" w:cs="Times New Roman"/>
          <w:szCs w:val="24"/>
        </w:rPr>
        <w:t xml:space="preserve"> 20 percent of the amount of franchise tax due for the report after applying all other applicable credits.</w:t>
      </w:r>
    </w:p>
    <w:p w:rsidR="004C5CF3" w:rsidRDefault="004C5CF3" w:rsidP="00A32C7B">
      <w:pPr>
        <w:spacing w:after="0" w:line="240" w:lineRule="auto"/>
        <w:ind w:left="1440"/>
        <w:jc w:val="both"/>
        <w:rPr>
          <w:rFonts w:eastAsia="Times New Roman" w:cs="Times New Roman"/>
          <w:szCs w:val="24"/>
        </w:rPr>
      </w:pPr>
    </w:p>
    <w:p w:rsidR="004C5CF3" w:rsidRDefault="004C5CF3" w:rsidP="00A32C7B">
      <w:pPr>
        <w:spacing w:after="0" w:line="240" w:lineRule="auto"/>
        <w:ind w:left="1440"/>
        <w:jc w:val="both"/>
        <w:rPr>
          <w:rFonts w:eastAsia="Times New Roman" w:cs="Times New Roman"/>
          <w:szCs w:val="24"/>
        </w:rPr>
      </w:pPr>
      <w:r>
        <w:rPr>
          <w:rFonts w:eastAsia="Times New Roman" w:cs="Times New Roman"/>
          <w:szCs w:val="24"/>
        </w:rPr>
        <w:t xml:space="preserve">(c) Prohibits the </w:t>
      </w:r>
      <w:r w:rsidRPr="009D0CA5">
        <w:rPr>
          <w:rFonts w:eastAsia="Times New Roman" w:cs="Times New Roman"/>
          <w:szCs w:val="24"/>
        </w:rPr>
        <w:t xml:space="preserve">total amount of credits that </w:t>
      </w:r>
      <w:r>
        <w:rPr>
          <w:rFonts w:eastAsia="Times New Roman" w:cs="Times New Roman"/>
          <w:szCs w:val="24"/>
        </w:rPr>
        <w:t>is authorized to</w:t>
      </w:r>
      <w:r w:rsidRPr="009D0CA5">
        <w:rPr>
          <w:rFonts w:eastAsia="Times New Roman" w:cs="Times New Roman"/>
          <w:szCs w:val="24"/>
        </w:rPr>
        <w:t xml:space="preserve"> be awarded under Subsection (a) in a state fiscal year </w:t>
      </w:r>
      <w:r>
        <w:rPr>
          <w:rFonts w:eastAsia="Times New Roman" w:cs="Times New Roman"/>
          <w:szCs w:val="24"/>
        </w:rPr>
        <w:t>from exceeding</w:t>
      </w:r>
      <w:r w:rsidRPr="009D0CA5">
        <w:rPr>
          <w:rFonts w:eastAsia="Times New Roman" w:cs="Times New Roman"/>
          <w:szCs w:val="24"/>
        </w:rPr>
        <w:t xml:space="preserve"> $400 million.</w:t>
      </w:r>
    </w:p>
    <w:p w:rsidR="004C5CF3" w:rsidRDefault="004C5CF3" w:rsidP="00A32C7B">
      <w:pPr>
        <w:spacing w:after="0" w:line="240" w:lineRule="auto"/>
        <w:ind w:left="1440"/>
        <w:jc w:val="both"/>
        <w:rPr>
          <w:rFonts w:eastAsia="Times New Roman" w:cs="Times New Roman"/>
          <w:szCs w:val="24"/>
        </w:rPr>
      </w:pPr>
    </w:p>
    <w:p w:rsidR="004C5CF3" w:rsidRDefault="004C5CF3" w:rsidP="00A32C7B">
      <w:pPr>
        <w:spacing w:after="0" w:line="240" w:lineRule="auto"/>
        <w:ind w:left="1440"/>
        <w:jc w:val="both"/>
        <w:rPr>
          <w:rFonts w:eastAsia="Times New Roman" w:cs="Times New Roman"/>
          <w:szCs w:val="24"/>
        </w:rPr>
      </w:pPr>
      <w:r>
        <w:rPr>
          <w:rFonts w:eastAsia="Times New Roman" w:cs="Times New Roman"/>
          <w:szCs w:val="24"/>
        </w:rPr>
        <w:t xml:space="preserve">(d) Requires the Comptroller of Public Accounts of the State of Texas (comptroller) by rule to </w:t>
      </w:r>
      <w:r w:rsidRPr="009D0CA5">
        <w:rPr>
          <w:rFonts w:eastAsia="Times New Roman" w:cs="Times New Roman"/>
          <w:szCs w:val="24"/>
        </w:rPr>
        <w:t xml:space="preserve">prescribe procedures by which the comptroller will allocate the amount of credits available under Subsection (c). </w:t>
      </w:r>
      <w:r>
        <w:rPr>
          <w:rFonts w:eastAsia="Times New Roman" w:cs="Times New Roman"/>
          <w:szCs w:val="24"/>
        </w:rPr>
        <w:t>Requires that t</w:t>
      </w:r>
      <w:r w:rsidRPr="009D0CA5">
        <w:rPr>
          <w:rFonts w:eastAsia="Times New Roman" w:cs="Times New Roman"/>
          <w:szCs w:val="24"/>
        </w:rPr>
        <w:t>he procedures provide that credits are allocated to taxable entities on a first-come, first-served basis, based on the date the entity applies for the credit.</w:t>
      </w:r>
    </w:p>
    <w:p w:rsidR="004C5CF3" w:rsidRDefault="004C5CF3" w:rsidP="00A32C7B">
      <w:pPr>
        <w:spacing w:after="0" w:line="240" w:lineRule="auto"/>
        <w:ind w:left="1440"/>
        <w:jc w:val="both"/>
        <w:rPr>
          <w:rFonts w:eastAsia="Times New Roman" w:cs="Times New Roman"/>
          <w:szCs w:val="24"/>
        </w:rPr>
      </w:pPr>
    </w:p>
    <w:p w:rsidR="004C5CF3" w:rsidRDefault="004C5CF3" w:rsidP="00A32C7B">
      <w:pPr>
        <w:spacing w:after="0" w:line="240" w:lineRule="auto"/>
        <w:ind w:left="720"/>
        <w:jc w:val="both"/>
        <w:rPr>
          <w:rFonts w:eastAsia="Times New Roman" w:cs="Times New Roman"/>
          <w:szCs w:val="24"/>
        </w:rPr>
      </w:pPr>
      <w:r>
        <w:rPr>
          <w:rFonts w:eastAsia="Times New Roman" w:cs="Times New Roman"/>
          <w:szCs w:val="24"/>
        </w:rPr>
        <w:t xml:space="preserve">Sec. 171.704. CARRYFORWARD. (a) Authorizes a taxable entity, if the entity </w:t>
      </w:r>
      <w:r w:rsidRPr="009D0CA5">
        <w:rPr>
          <w:rFonts w:eastAsia="Times New Roman" w:cs="Times New Roman"/>
          <w:szCs w:val="24"/>
        </w:rPr>
        <w:t xml:space="preserve">is eligible for a credit that exceeds the limitation under Section 171.703(b), </w:t>
      </w:r>
      <w:r>
        <w:rPr>
          <w:rFonts w:eastAsia="Times New Roman" w:cs="Times New Roman"/>
          <w:szCs w:val="24"/>
        </w:rPr>
        <w:t>to</w:t>
      </w:r>
      <w:r w:rsidRPr="009D0CA5">
        <w:rPr>
          <w:rFonts w:eastAsia="Times New Roman" w:cs="Times New Roman"/>
          <w:szCs w:val="24"/>
        </w:rPr>
        <w:t xml:space="preserve"> carry the unused credit forward for not more than five consecutive reports.</w:t>
      </w:r>
    </w:p>
    <w:p w:rsidR="004C5CF3" w:rsidRDefault="004C5CF3" w:rsidP="00A32C7B">
      <w:pPr>
        <w:spacing w:after="0" w:line="240" w:lineRule="auto"/>
        <w:ind w:left="720"/>
        <w:jc w:val="both"/>
        <w:rPr>
          <w:rFonts w:eastAsia="Times New Roman" w:cs="Times New Roman"/>
          <w:szCs w:val="24"/>
        </w:rPr>
      </w:pPr>
    </w:p>
    <w:p w:rsidR="004C5CF3" w:rsidRDefault="004C5CF3" w:rsidP="00A32C7B">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9D0CA5">
        <w:rPr>
          <w:rFonts w:eastAsia="Times New Roman" w:cs="Times New Roman"/>
          <w:szCs w:val="24"/>
        </w:rPr>
        <w:t>carryforward is considered the remaining portion of a credit that cannot be claimed in the current year because of the limitation under Section 171.703(b).</w:t>
      </w:r>
    </w:p>
    <w:p w:rsidR="004C5CF3" w:rsidRDefault="004C5CF3" w:rsidP="00A32C7B">
      <w:pPr>
        <w:spacing w:after="0" w:line="240" w:lineRule="auto"/>
        <w:ind w:left="1440"/>
        <w:jc w:val="both"/>
        <w:rPr>
          <w:rFonts w:eastAsia="Times New Roman" w:cs="Times New Roman"/>
          <w:szCs w:val="24"/>
        </w:rPr>
      </w:pPr>
    </w:p>
    <w:p w:rsidR="004C5CF3" w:rsidRDefault="004C5CF3" w:rsidP="00A32C7B">
      <w:pPr>
        <w:spacing w:after="0" w:line="240" w:lineRule="auto"/>
        <w:ind w:left="1440"/>
        <w:jc w:val="both"/>
        <w:rPr>
          <w:rFonts w:eastAsia="Times New Roman" w:cs="Times New Roman"/>
          <w:szCs w:val="24"/>
        </w:rPr>
      </w:pPr>
      <w:r>
        <w:rPr>
          <w:rFonts w:eastAsia="Times New Roman" w:cs="Times New Roman"/>
          <w:szCs w:val="24"/>
        </w:rPr>
        <w:t xml:space="preserve">(c) Provides that credits, </w:t>
      </w:r>
      <w:r w:rsidRPr="009D0CA5">
        <w:rPr>
          <w:rFonts w:eastAsia="Times New Roman" w:cs="Times New Roman"/>
          <w:szCs w:val="24"/>
        </w:rPr>
        <w:t>including a carryforward, are considered to be used in the following order:</w:t>
      </w:r>
    </w:p>
    <w:p w:rsidR="004C5CF3" w:rsidRPr="009D0CA5" w:rsidRDefault="004C5CF3" w:rsidP="00A32C7B">
      <w:pPr>
        <w:spacing w:after="0" w:line="240" w:lineRule="auto"/>
        <w:ind w:left="1440"/>
        <w:jc w:val="both"/>
        <w:rPr>
          <w:rFonts w:eastAsia="Times New Roman" w:cs="Times New Roman"/>
          <w:szCs w:val="24"/>
        </w:rPr>
      </w:pPr>
    </w:p>
    <w:p w:rsidR="004C5CF3" w:rsidRDefault="004C5CF3" w:rsidP="00A32C7B">
      <w:pPr>
        <w:spacing w:after="0" w:line="240" w:lineRule="auto"/>
        <w:ind w:left="2160"/>
        <w:jc w:val="both"/>
        <w:rPr>
          <w:rFonts w:eastAsia="Times New Roman" w:cs="Times New Roman"/>
          <w:szCs w:val="24"/>
        </w:rPr>
      </w:pPr>
      <w:r w:rsidRPr="009D0CA5">
        <w:rPr>
          <w:rFonts w:eastAsia="Times New Roman" w:cs="Times New Roman"/>
          <w:szCs w:val="24"/>
        </w:rPr>
        <w:t>(1) a carryforward under this subchapter; and</w:t>
      </w:r>
    </w:p>
    <w:p w:rsidR="004C5CF3" w:rsidRPr="009D0CA5" w:rsidRDefault="004C5CF3" w:rsidP="00A32C7B">
      <w:pPr>
        <w:spacing w:after="0" w:line="240" w:lineRule="auto"/>
        <w:ind w:left="2160"/>
        <w:jc w:val="both"/>
        <w:rPr>
          <w:rFonts w:eastAsia="Times New Roman" w:cs="Times New Roman"/>
          <w:szCs w:val="24"/>
        </w:rPr>
      </w:pPr>
    </w:p>
    <w:p w:rsidR="004C5CF3" w:rsidRDefault="004C5CF3" w:rsidP="00A32C7B">
      <w:pPr>
        <w:spacing w:after="0" w:line="240" w:lineRule="auto"/>
        <w:ind w:left="2160"/>
        <w:jc w:val="both"/>
        <w:rPr>
          <w:rFonts w:eastAsia="Times New Roman" w:cs="Times New Roman"/>
          <w:szCs w:val="24"/>
        </w:rPr>
      </w:pPr>
      <w:r w:rsidRPr="009D0CA5">
        <w:rPr>
          <w:rFonts w:eastAsia="Times New Roman" w:cs="Times New Roman"/>
          <w:szCs w:val="24"/>
        </w:rPr>
        <w:t>(2) a current year credit.</w:t>
      </w:r>
    </w:p>
    <w:p w:rsidR="004C5CF3"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ind w:left="720"/>
        <w:jc w:val="both"/>
        <w:rPr>
          <w:rFonts w:eastAsia="Times New Roman" w:cs="Times New Roman"/>
          <w:szCs w:val="24"/>
        </w:rPr>
      </w:pPr>
      <w:r>
        <w:rPr>
          <w:rFonts w:eastAsia="Times New Roman" w:cs="Times New Roman"/>
          <w:szCs w:val="24"/>
        </w:rPr>
        <w:t xml:space="preserve">Sec. 171.705. APPLICATION FOR CREDIT. (a) Requires a taxable entity to </w:t>
      </w:r>
      <w:r w:rsidRPr="009D0CA5">
        <w:rPr>
          <w:rFonts w:eastAsia="Times New Roman" w:cs="Times New Roman"/>
          <w:szCs w:val="24"/>
        </w:rPr>
        <w:t>apply for the credit under this subchapter on or with the report for the period for which the credit is claimed.</w:t>
      </w:r>
    </w:p>
    <w:p w:rsidR="004C5CF3" w:rsidRDefault="004C5CF3" w:rsidP="00A32C7B">
      <w:pPr>
        <w:spacing w:after="0" w:line="240" w:lineRule="auto"/>
        <w:ind w:left="720"/>
        <w:jc w:val="both"/>
        <w:rPr>
          <w:rFonts w:eastAsia="Times New Roman" w:cs="Times New Roman"/>
          <w:szCs w:val="24"/>
        </w:rPr>
      </w:pPr>
    </w:p>
    <w:p w:rsidR="004C5CF3" w:rsidRDefault="004C5CF3" w:rsidP="00A32C7B">
      <w:pPr>
        <w:spacing w:after="0" w:line="240" w:lineRule="auto"/>
        <w:ind w:left="1440"/>
        <w:jc w:val="both"/>
        <w:rPr>
          <w:rFonts w:eastAsia="Times New Roman" w:cs="Times New Roman"/>
          <w:szCs w:val="24"/>
        </w:rPr>
      </w:pPr>
      <w:r>
        <w:rPr>
          <w:rFonts w:eastAsia="Times New Roman" w:cs="Times New Roman"/>
          <w:szCs w:val="24"/>
        </w:rPr>
        <w:t xml:space="preserve">(b) Requires the comptroller to </w:t>
      </w:r>
      <w:r w:rsidRPr="009D0CA5">
        <w:rPr>
          <w:rFonts w:eastAsia="Times New Roman" w:cs="Times New Roman"/>
          <w:szCs w:val="24"/>
        </w:rPr>
        <w:t xml:space="preserve">prescribe the form and method for applying for a credit under this subchapter. </w:t>
      </w:r>
      <w:r>
        <w:rPr>
          <w:rFonts w:eastAsia="Times New Roman" w:cs="Times New Roman"/>
          <w:szCs w:val="24"/>
        </w:rPr>
        <w:t>Requires a</w:t>
      </w:r>
      <w:r w:rsidRPr="009D0CA5">
        <w:rPr>
          <w:rFonts w:eastAsia="Times New Roman" w:cs="Times New Roman"/>
          <w:szCs w:val="24"/>
        </w:rPr>
        <w:t xml:space="preserve"> taxable entity </w:t>
      </w:r>
      <w:r>
        <w:rPr>
          <w:rFonts w:eastAsia="Times New Roman" w:cs="Times New Roman"/>
          <w:szCs w:val="24"/>
        </w:rPr>
        <w:t>to</w:t>
      </w:r>
      <w:r w:rsidRPr="009D0CA5">
        <w:rPr>
          <w:rFonts w:eastAsia="Times New Roman" w:cs="Times New Roman"/>
          <w:szCs w:val="24"/>
        </w:rPr>
        <w:t xml:space="preserve"> use the form in applying for the credit.</w:t>
      </w:r>
    </w:p>
    <w:p w:rsidR="004C5CF3" w:rsidRDefault="004C5CF3" w:rsidP="00A32C7B">
      <w:pPr>
        <w:spacing w:after="0" w:line="240" w:lineRule="auto"/>
        <w:ind w:left="1440"/>
        <w:jc w:val="both"/>
        <w:rPr>
          <w:rFonts w:eastAsia="Times New Roman" w:cs="Times New Roman"/>
          <w:szCs w:val="24"/>
        </w:rPr>
      </w:pPr>
    </w:p>
    <w:p w:rsidR="004C5CF3" w:rsidRDefault="004C5CF3" w:rsidP="00A32C7B">
      <w:pPr>
        <w:spacing w:after="0" w:line="240" w:lineRule="auto"/>
        <w:ind w:left="1440"/>
        <w:jc w:val="both"/>
        <w:rPr>
          <w:rFonts w:eastAsia="Times New Roman" w:cs="Times New Roman"/>
          <w:szCs w:val="24"/>
        </w:rPr>
      </w:pPr>
      <w:r>
        <w:rPr>
          <w:rFonts w:eastAsia="Times New Roman" w:cs="Times New Roman"/>
          <w:szCs w:val="24"/>
        </w:rPr>
        <w:t xml:space="preserve">(c) Authorizes the comptroller to </w:t>
      </w:r>
      <w:r w:rsidRPr="009D0CA5">
        <w:rPr>
          <w:rFonts w:eastAsia="Times New Roman" w:cs="Times New Roman"/>
          <w:szCs w:val="24"/>
        </w:rPr>
        <w:t>require the taxable entity to include any other information the comptroller determines is necessary to demonstrate:</w:t>
      </w:r>
    </w:p>
    <w:p w:rsidR="004C5CF3" w:rsidRPr="009D0CA5" w:rsidRDefault="004C5CF3" w:rsidP="00A32C7B">
      <w:pPr>
        <w:spacing w:after="0" w:line="240" w:lineRule="auto"/>
        <w:ind w:left="1440"/>
        <w:jc w:val="both"/>
        <w:rPr>
          <w:rFonts w:eastAsia="Times New Roman" w:cs="Times New Roman"/>
          <w:szCs w:val="24"/>
        </w:rPr>
      </w:pPr>
    </w:p>
    <w:p w:rsidR="004C5CF3" w:rsidRDefault="004C5CF3" w:rsidP="00A32C7B">
      <w:pPr>
        <w:spacing w:after="0" w:line="240" w:lineRule="auto"/>
        <w:ind w:left="2160"/>
        <w:jc w:val="both"/>
        <w:rPr>
          <w:rFonts w:eastAsia="Times New Roman" w:cs="Times New Roman"/>
          <w:szCs w:val="24"/>
        </w:rPr>
      </w:pPr>
      <w:r w:rsidRPr="009D0CA5">
        <w:rPr>
          <w:rFonts w:eastAsia="Times New Roman" w:cs="Times New Roman"/>
          <w:szCs w:val="24"/>
        </w:rPr>
        <w:t>(1) whether the entity is eligible for the credit; and</w:t>
      </w:r>
    </w:p>
    <w:p w:rsidR="004C5CF3" w:rsidRPr="009D0CA5" w:rsidRDefault="004C5CF3" w:rsidP="00A32C7B">
      <w:pPr>
        <w:spacing w:after="0" w:line="240" w:lineRule="auto"/>
        <w:ind w:left="2160"/>
        <w:jc w:val="both"/>
        <w:rPr>
          <w:rFonts w:eastAsia="Times New Roman" w:cs="Times New Roman"/>
          <w:szCs w:val="24"/>
        </w:rPr>
      </w:pPr>
    </w:p>
    <w:p w:rsidR="004C5CF3" w:rsidRDefault="004C5CF3" w:rsidP="00A32C7B">
      <w:pPr>
        <w:spacing w:after="0" w:line="240" w:lineRule="auto"/>
        <w:ind w:left="2160"/>
        <w:jc w:val="both"/>
        <w:rPr>
          <w:rFonts w:eastAsia="Times New Roman" w:cs="Times New Roman"/>
          <w:szCs w:val="24"/>
        </w:rPr>
      </w:pPr>
      <w:r w:rsidRPr="009D0CA5">
        <w:rPr>
          <w:rFonts w:eastAsia="Times New Roman" w:cs="Times New Roman"/>
          <w:szCs w:val="24"/>
        </w:rPr>
        <w:t>(2) the amount of the credit.</w:t>
      </w:r>
    </w:p>
    <w:p w:rsidR="004C5CF3" w:rsidRDefault="004C5CF3" w:rsidP="00A32C7B">
      <w:pPr>
        <w:spacing w:after="0" w:line="240" w:lineRule="auto"/>
        <w:ind w:left="2160"/>
        <w:jc w:val="both"/>
        <w:rPr>
          <w:rFonts w:eastAsia="Times New Roman" w:cs="Times New Roman"/>
          <w:szCs w:val="24"/>
        </w:rPr>
      </w:pPr>
    </w:p>
    <w:p w:rsidR="004C5CF3" w:rsidRDefault="004C5CF3" w:rsidP="00A32C7B">
      <w:pPr>
        <w:spacing w:after="0" w:line="240" w:lineRule="auto"/>
        <w:ind w:left="1440"/>
        <w:jc w:val="both"/>
        <w:rPr>
          <w:rFonts w:eastAsia="Times New Roman" w:cs="Times New Roman"/>
          <w:szCs w:val="24"/>
        </w:rPr>
      </w:pPr>
      <w:r>
        <w:rPr>
          <w:rFonts w:eastAsia="Times New Roman" w:cs="Times New Roman"/>
          <w:szCs w:val="24"/>
        </w:rPr>
        <w:t xml:space="preserve">(d) Provides that the burden </w:t>
      </w:r>
      <w:r w:rsidRPr="009D0CA5">
        <w:rPr>
          <w:rFonts w:eastAsia="Times New Roman" w:cs="Times New Roman"/>
          <w:szCs w:val="24"/>
        </w:rPr>
        <w:t>of establishing eligibility for and the amount of the credit is on the taxable entity.</w:t>
      </w:r>
    </w:p>
    <w:p w:rsidR="004C5CF3" w:rsidRDefault="004C5CF3" w:rsidP="00A32C7B">
      <w:pPr>
        <w:spacing w:after="0" w:line="240" w:lineRule="auto"/>
        <w:ind w:left="1440"/>
        <w:jc w:val="both"/>
        <w:rPr>
          <w:rFonts w:eastAsia="Times New Roman" w:cs="Times New Roman"/>
          <w:szCs w:val="24"/>
        </w:rPr>
      </w:pPr>
    </w:p>
    <w:p w:rsidR="004C5CF3" w:rsidRDefault="004C5CF3" w:rsidP="00A32C7B">
      <w:pPr>
        <w:spacing w:after="0" w:line="240" w:lineRule="auto"/>
        <w:ind w:left="1440"/>
        <w:jc w:val="both"/>
        <w:rPr>
          <w:rFonts w:eastAsia="Times New Roman" w:cs="Times New Roman"/>
          <w:szCs w:val="24"/>
        </w:rPr>
      </w:pPr>
      <w:r>
        <w:rPr>
          <w:rFonts w:eastAsia="Times New Roman" w:cs="Times New Roman"/>
          <w:szCs w:val="24"/>
        </w:rPr>
        <w:t xml:space="preserve">(e) Authorizes the comptroller to </w:t>
      </w:r>
      <w:r w:rsidRPr="009D0CA5">
        <w:rPr>
          <w:rFonts w:eastAsia="Times New Roman" w:cs="Times New Roman"/>
          <w:szCs w:val="24"/>
        </w:rPr>
        <w:t xml:space="preserve">request permission to examine the books and records of a taxable entity as necessary to determine whether the entity is entitled to a credit under this subchapter and the amount of the credit. </w:t>
      </w:r>
      <w:r>
        <w:rPr>
          <w:rFonts w:eastAsia="Times New Roman" w:cs="Times New Roman"/>
          <w:szCs w:val="24"/>
        </w:rPr>
        <w:t>Authorizes t</w:t>
      </w:r>
      <w:r w:rsidRPr="009D0CA5">
        <w:rPr>
          <w:rFonts w:eastAsia="Times New Roman" w:cs="Times New Roman"/>
          <w:szCs w:val="24"/>
        </w:rPr>
        <w:t xml:space="preserve">he comptroller </w:t>
      </w:r>
      <w:r>
        <w:rPr>
          <w:rFonts w:eastAsia="Times New Roman" w:cs="Times New Roman"/>
          <w:szCs w:val="24"/>
        </w:rPr>
        <w:t>to</w:t>
      </w:r>
      <w:r w:rsidRPr="009D0CA5">
        <w:rPr>
          <w:rFonts w:eastAsia="Times New Roman" w:cs="Times New Roman"/>
          <w:szCs w:val="24"/>
        </w:rPr>
        <w:t xml:space="preserve"> disallow the credit if the taxable entity refuses to allow the comptroller to examine the books and records.</w:t>
      </w:r>
    </w:p>
    <w:p w:rsidR="004C5CF3" w:rsidRDefault="004C5CF3" w:rsidP="00A32C7B">
      <w:pPr>
        <w:spacing w:after="0" w:line="240" w:lineRule="auto"/>
        <w:ind w:left="1440"/>
        <w:jc w:val="both"/>
        <w:rPr>
          <w:rFonts w:eastAsia="Times New Roman" w:cs="Times New Roman"/>
          <w:szCs w:val="24"/>
        </w:rPr>
      </w:pPr>
    </w:p>
    <w:p w:rsidR="004C5CF3" w:rsidRDefault="004C5CF3" w:rsidP="00A32C7B">
      <w:pPr>
        <w:spacing w:after="0" w:line="240" w:lineRule="auto"/>
        <w:ind w:left="720"/>
        <w:jc w:val="both"/>
        <w:rPr>
          <w:rFonts w:eastAsia="Times New Roman" w:cs="Times New Roman"/>
          <w:szCs w:val="24"/>
        </w:rPr>
      </w:pPr>
      <w:r>
        <w:rPr>
          <w:rFonts w:eastAsia="Times New Roman" w:cs="Times New Roman"/>
          <w:szCs w:val="24"/>
        </w:rPr>
        <w:t xml:space="preserve">Sec. 171.706. SALE OR ASSIGNMENT PROHIBITED. Prohibits a </w:t>
      </w:r>
      <w:r w:rsidRPr="009D0CA5">
        <w:rPr>
          <w:rFonts w:eastAsia="Times New Roman" w:cs="Times New Roman"/>
          <w:szCs w:val="24"/>
        </w:rPr>
        <w:t xml:space="preserve">taxable entity that earns a credit under this subchapter </w:t>
      </w:r>
      <w:r>
        <w:rPr>
          <w:rFonts w:eastAsia="Times New Roman" w:cs="Times New Roman"/>
          <w:szCs w:val="24"/>
        </w:rPr>
        <w:t>from selling or assigning</w:t>
      </w:r>
      <w:r w:rsidRPr="009D0CA5">
        <w:rPr>
          <w:rFonts w:eastAsia="Times New Roman" w:cs="Times New Roman"/>
          <w:szCs w:val="24"/>
        </w:rPr>
        <w:t xml:space="preserve"> any part of the credit.</w:t>
      </w:r>
    </w:p>
    <w:p w:rsidR="004C5CF3" w:rsidRDefault="004C5CF3" w:rsidP="00A32C7B">
      <w:pPr>
        <w:spacing w:after="0" w:line="240" w:lineRule="auto"/>
        <w:ind w:left="720"/>
        <w:jc w:val="both"/>
        <w:rPr>
          <w:rFonts w:eastAsia="Times New Roman" w:cs="Times New Roman"/>
          <w:szCs w:val="24"/>
        </w:rPr>
      </w:pPr>
    </w:p>
    <w:p w:rsidR="004C5CF3" w:rsidRPr="005C2A78" w:rsidRDefault="004C5CF3" w:rsidP="00A32C7B">
      <w:pPr>
        <w:spacing w:after="0" w:line="240" w:lineRule="auto"/>
        <w:ind w:left="720"/>
        <w:jc w:val="both"/>
        <w:rPr>
          <w:rFonts w:eastAsia="Times New Roman" w:cs="Times New Roman"/>
          <w:szCs w:val="24"/>
        </w:rPr>
      </w:pPr>
      <w:r>
        <w:rPr>
          <w:rFonts w:eastAsia="Times New Roman" w:cs="Times New Roman"/>
          <w:szCs w:val="24"/>
        </w:rPr>
        <w:t xml:space="preserve">Sec. 171.707. RULES. Requires the comptroller to </w:t>
      </w:r>
      <w:r w:rsidRPr="009D0CA5">
        <w:rPr>
          <w:rFonts w:eastAsia="Times New Roman" w:cs="Times New Roman"/>
          <w:szCs w:val="24"/>
        </w:rPr>
        <w:t>adopt rules as necessary to implement and administer this subchapter.</w:t>
      </w:r>
    </w:p>
    <w:p w:rsidR="004C5CF3" w:rsidRPr="005C2A78" w:rsidRDefault="004C5CF3" w:rsidP="00A32C7B">
      <w:pPr>
        <w:spacing w:after="0" w:line="240" w:lineRule="auto"/>
        <w:jc w:val="both"/>
        <w:rPr>
          <w:rFonts w:eastAsia="Times New Roman" w:cs="Times New Roman"/>
          <w:szCs w:val="24"/>
        </w:rPr>
      </w:pPr>
    </w:p>
    <w:p w:rsidR="004C5CF3" w:rsidRDefault="004C5CF3" w:rsidP="00A32C7B">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 xml:space="preserve">2.02. Makes application of </w:t>
      </w:r>
      <w:r w:rsidRPr="009D0CA5">
        <w:rPr>
          <w:rFonts w:eastAsia="Times New Roman" w:cs="Times New Roman"/>
          <w:szCs w:val="24"/>
        </w:rPr>
        <w:t xml:space="preserve">Subchapter N, Chapter 171, Tax Code, as added by this article, </w:t>
      </w:r>
      <w:r>
        <w:rPr>
          <w:rFonts w:eastAsia="Times New Roman" w:cs="Times New Roman"/>
          <w:szCs w:val="24"/>
        </w:rPr>
        <w:t xml:space="preserve">prospective. </w:t>
      </w:r>
    </w:p>
    <w:p w:rsidR="004C5CF3" w:rsidRDefault="004C5CF3" w:rsidP="00A32C7B">
      <w:pPr>
        <w:spacing w:after="0" w:line="240" w:lineRule="auto"/>
        <w:jc w:val="both"/>
        <w:rPr>
          <w:rFonts w:eastAsia="Times New Roman" w:cs="Times New Roman"/>
          <w:szCs w:val="24"/>
        </w:rPr>
      </w:pPr>
    </w:p>
    <w:p w:rsidR="004C5CF3" w:rsidRPr="00C8671F" w:rsidRDefault="004C5CF3" w:rsidP="00A32C7B">
      <w:pPr>
        <w:spacing w:after="0" w:line="240" w:lineRule="auto"/>
        <w:jc w:val="both"/>
        <w:rPr>
          <w:rFonts w:eastAsia="Times New Roman" w:cs="Times New Roman"/>
          <w:szCs w:val="24"/>
        </w:rPr>
      </w:pPr>
      <w:r>
        <w:rPr>
          <w:rFonts w:eastAsia="Times New Roman" w:cs="Times New Roman"/>
          <w:szCs w:val="24"/>
        </w:rPr>
        <w:t>SECTION 2.03. Effective date, this article: January 1, 2024.</w:t>
      </w:r>
    </w:p>
    <w:sectPr w:rsidR="004C5CF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1CF" w:rsidRDefault="00EE01CF" w:rsidP="000F1DF9">
      <w:pPr>
        <w:spacing w:after="0" w:line="240" w:lineRule="auto"/>
      </w:pPr>
      <w:r>
        <w:separator/>
      </w:r>
    </w:p>
  </w:endnote>
  <w:endnote w:type="continuationSeparator" w:id="0">
    <w:p w:rsidR="00EE01CF" w:rsidRDefault="00EE01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01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5CF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C5CF3">
                <w:rPr>
                  <w:sz w:val="20"/>
                  <w:szCs w:val="20"/>
                </w:rPr>
                <w:t>S.B. 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C5C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01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1CF" w:rsidRDefault="00EE01CF" w:rsidP="000F1DF9">
      <w:pPr>
        <w:spacing w:after="0" w:line="240" w:lineRule="auto"/>
      </w:pPr>
      <w:r>
        <w:separator/>
      </w:r>
    </w:p>
  </w:footnote>
  <w:footnote w:type="continuationSeparator" w:id="0">
    <w:p w:rsidR="00EE01CF" w:rsidRDefault="00EE01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5CF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01C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48D3"/>
  <w15:docId w15:val="{4B495AC2-2298-486A-9ACF-2B26DD99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5C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5F39479298454BB589A38CD784EE6B"/>
        <w:category>
          <w:name w:val="General"/>
          <w:gallery w:val="placeholder"/>
        </w:category>
        <w:types>
          <w:type w:val="bbPlcHdr"/>
        </w:types>
        <w:behaviors>
          <w:behavior w:val="content"/>
        </w:behaviors>
        <w:guid w:val="{6BE93D0B-D2C1-4564-BAA1-87F987AA8C2C}"/>
      </w:docPartPr>
      <w:docPartBody>
        <w:p w:rsidR="00000000" w:rsidRDefault="00D307F7"/>
      </w:docPartBody>
    </w:docPart>
    <w:docPart>
      <w:docPartPr>
        <w:name w:val="1F98F04DD0B6443690CF9833CEB66E94"/>
        <w:category>
          <w:name w:val="General"/>
          <w:gallery w:val="placeholder"/>
        </w:category>
        <w:types>
          <w:type w:val="bbPlcHdr"/>
        </w:types>
        <w:behaviors>
          <w:behavior w:val="content"/>
        </w:behaviors>
        <w:guid w:val="{8C9DE1D0-90AC-4585-A2E4-E6C6FB8511FA}"/>
      </w:docPartPr>
      <w:docPartBody>
        <w:p w:rsidR="00000000" w:rsidRDefault="00D307F7"/>
      </w:docPartBody>
    </w:docPart>
    <w:docPart>
      <w:docPartPr>
        <w:name w:val="4801F0CE8E584551A046B0B9A0905D79"/>
        <w:category>
          <w:name w:val="General"/>
          <w:gallery w:val="placeholder"/>
        </w:category>
        <w:types>
          <w:type w:val="bbPlcHdr"/>
        </w:types>
        <w:behaviors>
          <w:behavior w:val="content"/>
        </w:behaviors>
        <w:guid w:val="{1C0EA4C8-BDCE-409F-AA9B-0C07E8E4FCEF}"/>
      </w:docPartPr>
      <w:docPartBody>
        <w:p w:rsidR="00000000" w:rsidRDefault="00D307F7"/>
      </w:docPartBody>
    </w:docPart>
    <w:docPart>
      <w:docPartPr>
        <w:name w:val="592E6B7916294B608880D11D64687AC5"/>
        <w:category>
          <w:name w:val="General"/>
          <w:gallery w:val="placeholder"/>
        </w:category>
        <w:types>
          <w:type w:val="bbPlcHdr"/>
        </w:types>
        <w:behaviors>
          <w:behavior w:val="content"/>
        </w:behaviors>
        <w:guid w:val="{EF241643-11E3-4DE4-B264-F666297C4FED}"/>
      </w:docPartPr>
      <w:docPartBody>
        <w:p w:rsidR="00000000" w:rsidRDefault="00D307F7"/>
      </w:docPartBody>
    </w:docPart>
    <w:docPart>
      <w:docPartPr>
        <w:name w:val="4DE9F0DE85504D4AB5B7CCBE5890FFBD"/>
        <w:category>
          <w:name w:val="General"/>
          <w:gallery w:val="placeholder"/>
        </w:category>
        <w:types>
          <w:type w:val="bbPlcHdr"/>
        </w:types>
        <w:behaviors>
          <w:behavior w:val="content"/>
        </w:behaviors>
        <w:guid w:val="{B681D6FE-915C-4A01-9D18-A31C7B5EB9DB}"/>
      </w:docPartPr>
      <w:docPartBody>
        <w:p w:rsidR="00000000" w:rsidRDefault="00D307F7"/>
      </w:docPartBody>
    </w:docPart>
    <w:docPart>
      <w:docPartPr>
        <w:name w:val="CDA1C74551F74064AD2DA0620E03D40B"/>
        <w:category>
          <w:name w:val="General"/>
          <w:gallery w:val="placeholder"/>
        </w:category>
        <w:types>
          <w:type w:val="bbPlcHdr"/>
        </w:types>
        <w:behaviors>
          <w:behavior w:val="content"/>
        </w:behaviors>
        <w:guid w:val="{5F27355E-EC32-4886-9827-2FBDB22A942A}"/>
      </w:docPartPr>
      <w:docPartBody>
        <w:p w:rsidR="00000000" w:rsidRDefault="00D307F7"/>
      </w:docPartBody>
    </w:docPart>
    <w:docPart>
      <w:docPartPr>
        <w:name w:val="C77E95E1E21348C6A5C460E5938B2089"/>
        <w:category>
          <w:name w:val="General"/>
          <w:gallery w:val="placeholder"/>
        </w:category>
        <w:types>
          <w:type w:val="bbPlcHdr"/>
        </w:types>
        <w:behaviors>
          <w:behavior w:val="content"/>
        </w:behaviors>
        <w:guid w:val="{39518DD4-8137-45BB-9A4D-574CC9EC25F0}"/>
      </w:docPartPr>
      <w:docPartBody>
        <w:p w:rsidR="00000000" w:rsidRDefault="00D307F7"/>
      </w:docPartBody>
    </w:docPart>
    <w:docPart>
      <w:docPartPr>
        <w:name w:val="BD6161A2C9AC40DBA14AF202352BD178"/>
        <w:category>
          <w:name w:val="General"/>
          <w:gallery w:val="placeholder"/>
        </w:category>
        <w:types>
          <w:type w:val="bbPlcHdr"/>
        </w:types>
        <w:behaviors>
          <w:behavior w:val="content"/>
        </w:behaviors>
        <w:guid w:val="{A1C6F456-7B7A-44DC-AFAD-F4AD37D27D0E}"/>
      </w:docPartPr>
      <w:docPartBody>
        <w:p w:rsidR="00000000" w:rsidRDefault="00D307F7"/>
      </w:docPartBody>
    </w:docPart>
    <w:docPart>
      <w:docPartPr>
        <w:name w:val="13D0A6A4051947D08E915D274AF5553D"/>
        <w:category>
          <w:name w:val="General"/>
          <w:gallery w:val="placeholder"/>
        </w:category>
        <w:types>
          <w:type w:val="bbPlcHdr"/>
        </w:types>
        <w:behaviors>
          <w:behavior w:val="content"/>
        </w:behaviors>
        <w:guid w:val="{2F738354-3D8A-41FD-81BF-46B96FE57C70}"/>
      </w:docPartPr>
      <w:docPartBody>
        <w:p w:rsidR="00000000" w:rsidRDefault="00D307F7"/>
      </w:docPartBody>
    </w:docPart>
    <w:docPart>
      <w:docPartPr>
        <w:name w:val="32048BD911254AF490032E943C537540"/>
        <w:category>
          <w:name w:val="General"/>
          <w:gallery w:val="placeholder"/>
        </w:category>
        <w:types>
          <w:type w:val="bbPlcHdr"/>
        </w:types>
        <w:behaviors>
          <w:behavior w:val="content"/>
        </w:behaviors>
        <w:guid w:val="{2B2A3A1B-C323-4D7A-8DB7-980FB2EEA416}"/>
      </w:docPartPr>
      <w:docPartBody>
        <w:p w:rsidR="00000000" w:rsidRDefault="00176AEF" w:rsidP="00176AEF">
          <w:pPr>
            <w:pStyle w:val="32048BD911254AF490032E943C537540"/>
          </w:pPr>
          <w:r w:rsidRPr="00A30DD1">
            <w:rPr>
              <w:rStyle w:val="PlaceholderText"/>
            </w:rPr>
            <w:t>Click here to enter a date.</w:t>
          </w:r>
        </w:p>
      </w:docPartBody>
    </w:docPart>
    <w:docPart>
      <w:docPartPr>
        <w:name w:val="A43ADB1E98284912A1FDC6E931FA06FE"/>
        <w:category>
          <w:name w:val="General"/>
          <w:gallery w:val="placeholder"/>
        </w:category>
        <w:types>
          <w:type w:val="bbPlcHdr"/>
        </w:types>
        <w:behaviors>
          <w:behavior w:val="content"/>
        </w:behaviors>
        <w:guid w:val="{69CC4AB8-3FD5-4A23-BC0F-CEC3E2D7E12B}"/>
      </w:docPartPr>
      <w:docPartBody>
        <w:p w:rsidR="00000000" w:rsidRDefault="00D307F7"/>
      </w:docPartBody>
    </w:docPart>
    <w:docPart>
      <w:docPartPr>
        <w:name w:val="A6E35361C9774BC6BBC8E515A243A3BD"/>
        <w:category>
          <w:name w:val="General"/>
          <w:gallery w:val="placeholder"/>
        </w:category>
        <w:types>
          <w:type w:val="bbPlcHdr"/>
        </w:types>
        <w:behaviors>
          <w:behavior w:val="content"/>
        </w:behaviors>
        <w:guid w:val="{535A7AD9-803A-4803-B2BE-A5BE53FF5235}"/>
      </w:docPartPr>
      <w:docPartBody>
        <w:p w:rsidR="00000000" w:rsidRDefault="00D307F7"/>
      </w:docPartBody>
    </w:docPart>
    <w:docPart>
      <w:docPartPr>
        <w:name w:val="CCE1E73C622B4ABF832DBAF600D5B611"/>
        <w:category>
          <w:name w:val="General"/>
          <w:gallery w:val="placeholder"/>
        </w:category>
        <w:types>
          <w:type w:val="bbPlcHdr"/>
        </w:types>
        <w:behaviors>
          <w:behavior w:val="content"/>
        </w:behaviors>
        <w:guid w:val="{5B939486-8876-4460-B070-717428A865B5}"/>
      </w:docPartPr>
      <w:docPartBody>
        <w:p w:rsidR="00000000" w:rsidRDefault="00176AEF" w:rsidP="00176AEF">
          <w:pPr>
            <w:pStyle w:val="CCE1E73C622B4ABF832DBAF600D5B611"/>
          </w:pPr>
          <w:r>
            <w:rPr>
              <w:rFonts w:eastAsia="Times New Roman" w:cs="Times New Roman"/>
              <w:bCs/>
              <w:szCs w:val="24"/>
            </w:rPr>
            <w:t xml:space="preserve"> </w:t>
          </w:r>
        </w:p>
      </w:docPartBody>
    </w:docPart>
    <w:docPart>
      <w:docPartPr>
        <w:name w:val="080284AFD01E4E7EAD10239F3E45C805"/>
        <w:category>
          <w:name w:val="General"/>
          <w:gallery w:val="placeholder"/>
        </w:category>
        <w:types>
          <w:type w:val="bbPlcHdr"/>
        </w:types>
        <w:behaviors>
          <w:behavior w:val="content"/>
        </w:behaviors>
        <w:guid w:val="{46241AD4-D8A4-4D1F-9F0D-22768FDEA63C}"/>
      </w:docPartPr>
      <w:docPartBody>
        <w:p w:rsidR="00000000" w:rsidRDefault="00D307F7"/>
      </w:docPartBody>
    </w:docPart>
    <w:docPart>
      <w:docPartPr>
        <w:name w:val="469B9923A64A45979E3C0D92878A30DB"/>
        <w:category>
          <w:name w:val="General"/>
          <w:gallery w:val="placeholder"/>
        </w:category>
        <w:types>
          <w:type w:val="bbPlcHdr"/>
        </w:types>
        <w:behaviors>
          <w:behavior w:val="content"/>
        </w:behaviors>
        <w:guid w:val="{111C1D87-7C79-41E5-A35F-5AF3E69FAFB1}"/>
      </w:docPartPr>
      <w:docPartBody>
        <w:p w:rsidR="00000000" w:rsidRDefault="00D307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6AE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307F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AEF"/>
    <w:rPr>
      <w:color w:val="808080"/>
    </w:rPr>
  </w:style>
  <w:style w:type="paragraph" w:customStyle="1" w:styleId="32048BD911254AF490032E943C537540">
    <w:name w:val="32048BD911254AF490032E943C537540"/>
    <w:rsid w:val="00176AEF"/>
    <w:pPr>
      <w:spacing w:after="160" w:line="259" w:lineRule="auto"/>
    </w:pPr>
  </w:style>
  <w:style w:type="paragraph" w:customStyle="1" w:styleId="CCE1E73C622B4ABF832DBAF600D5B611">
    <w:name w:val="CCE1E73C622B4ABF832DBAF600D5B611"/>
    <w:rsid w:val="00176AE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1151</Words>
  <Characters>6562</Characters>
  <Application>Microsoft Office Word</Application>
  <DocSecurity>0</DocSecurity>
  <Lines>54</Lines>
  <Paragraphs>15</Paragraphs>
  <ScaleCrop>false</ScaleCrop>
  <Company>Texas Legislative Council</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2023-03-14T02:06:00Z</dcterms:modified>
</cp:coreProperties>
</file>

<file path=docProps/custom.xml><?xml version="1.0" encoding="utf-8"?>
<op:Properties xmlns:vt="http://schemas.openxmlformats.org/officeDocument/2006/docPropsVTypes" xmlns:op="http://schemas.openxmlformats.org/officeDocument/2006/custom-properties"/>
</file>