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EB12D3" w14:paraId="26EC374B" w14:textId="77777777" w:rsidTr="00345119">
        <w:tc>
          <w:tcPr>
            <w:tcW w:w="9576" w:type="dxa"/>
            <w:noWrap/>
          </w:tcPr>
          <w:p w14:paraId="7AE10E3D" w14:textId="77777777" w:rsidR="008423E4" w:rsidRPr="0022177D" w:rsidRDefault="00171E14" w:rsidP="00153669">
            <w:pPr>
              <w:pStyle w:val="Heading1"/>
            </w:pPr>
            <w:r w:rsidRPr="00631897">
              <w:t>BILL ANALYSIS</w:t>
            </w:r>
          </w:p>
        </w:tc>
      </w:tr>
    </w:tbl>
    <w:p w14:paraId="4F11F8E9" w14:textId="77777777" w:rsidR="008423E4" w:rsidRPr="0022177D" w:rsidRDefault="008423E4" w:rsidP="00153669">
      <w:pPr>
        <w:jc w:val="center"/>
      </w:pPr>
    </w:p>
    <w:p w14:paraId="7F86D31D" w14:textId="77777777" w:rsidR="008423E4" w:rsidRPr="00B31F0E" w:rsidRDefault="008423E4" w:rsidP="00153669"/>
    <w:p w14:paraId="725E02E2" w14:textId="77777777" w:rsidR="008423E4" w:rsidRPr="00742794" w:rsidRDefault="008423E4" w:rsidP="00153669">
      <w:pPr>
        <w:tabs>
          <w:tab w:val="right" w:pos="9360"/>
        </w:tabs>
      </w:pPr>
    </w:p>
    <w:tbl>
      <w:tblPr>
        <w:tblW w:w="0" w:type="auto"/>
        <w:tblLayout w:type="fixed"/>
        <w:tblLook w:val="01E0" w:firstRow="1" w:lastRow="1" w:firstColumn="1" w:lastColumn="1" w:noHBand="0" w:noVBand="0"/>
      </w:tblPr>
      <w:tblGrid>
        <w:gridCol w:w="9576"/>
      </w:tblGrid>
      <w:tr w:rsidR="00EB12D3" w14:paraId="1E0420A0" w14:textId="77777777" w:rsidTr="00345119">
        <w:tc>
          <w:tcPr>
            <w:tcW w:w="9576" w:type="dxa"/>
          </w:tcPr>
          <w:p w14:paraId="1BA181FA" w14:textId="23C80723" w:rsidR="008423E4" w:rsidRPr="00861995" w:rsidRDefault="00171E14" w:rsidP="00153669">
            <w:pPr>
              <w:jc w:val="right"/>
            </w:pPr>
            <w:r>
              <w:t>C.S.S.B. 17</w:t>
            </w:r>
          </w:p>
        </w:tc>
      </w:tr>
      <w:tr w:rsidR="00EB12D3" w14:paraId="670D3296" w14:textId="77777777" w:rsidTr="00345119">
        <w:tc>
          <w:tcPr>
            <w:tcW w:w="9576" w:type="dxa"/>
          </w:tcPr>
          <w:p w14:paraId="1F645492" w14:textId="6E6CA92D" w:rsidR="008423E4" w:rsidRPr="00861995" w:rsidRDefault="00171E14" w:rsidP="00153669">
            <w:pPr>
              <w:jc w:val="right"/>
            </w:pPr>
            <w:r>
              <w:t xml:space="preserve">By: </w:t>
            </w:r>
            <w:r w:rsidR="00B154E7">
              <w:t>Creighton</w:t>
            </w:r>
          </w:p>
        </w:tc>
      </w:tr>
      <w:tr w:rsidR="00EB12D3" w14:paraId="306A3277" w14:textId="77777777" w:rsidTr="00345119">
        <w:tc>
          <w:tcPr>
            <w:tcW w:w="9576" w:type="dxa"/>
          </w:tcPr>
          <w:p w14:paraId="005AA4A0" w14:textId="2BECBC6A" w:rsidR="008423E4" w:rsidRPr="00861995" w:rsidRDefault="00171E14" w:rsidP="00153669">
            <w:pPr>
              <w:jc w:val="right"/>
            </w:pPr>
            <w:r>
              <w:t>Higher Education</w:t>
            </w:r>
          </w:p>
        </w:tc>
      </w:tr>
      <w:tr w:rsidR="00EB12D3" w14:paraId="3C074143" w14:textId="77777777" w:rsidTr="00345119">
        <w:tc>
          <w:tcPr>
            <w:tcW w:w="9576" w:type="dxa"/>
          </w:tcPr>
          <w:p w14:paraId="751EDCBD" w14:textId="1182D0B4" w:rsidR="008423E4" w:rsidRDefault="00171E14" w:rsidP="00153669">
            <w:pPr>
              <w:jc w:val="right"/>
            </w:pPr>
            <w:r>
              <w:t>Committee Report (Substituted)</w:t>
            </w:r>
          </w:p>
        </w:tc>
      </w:tr>
    </w:tbl>
    <w:p w14:paraId="7D5F71E4" w14:textId="77777777" w:rsidR="008423E4" w:rsidRDefault="008423E4" w:rsidP="00153669">
      <w:pPr>
        <w:tabs>
          <w:tab w:val="right" w:pos="9360"/>
        </w:tabs>
      </w:pPr>
    </w:p>
    <w:p w14:paraId="51A12DC4" w14:textId="77777777" w:rsidR="008423E4" w:rsidRDefault="008423E4" w:rsidP="00153669"/>
    <w:p w14:paraId="2F658E72" w14:textId="77777777" w:rsidR="008423E4" w:rsidRDefault="008423E4" w:rsidP="00153669"/>
    <w:tbl>
      <w:tblPr>
        <w:tblW w:w="0" w:type="auto"/>
        <w:tblCellMar>
          <w:left w:w="115" w:type="dxa"/>
          <w:right w:w="115" w:type="dxa"/>
        </w:tblCellMar>
        <w:tblLook w:val="01E0" w:firstRow="1" w:lastRow="1" w:firstColumn="1" w:lastColumn="1" w:noHBand="0" w:noVBand="0"/>
      </w:tblPr>
      <w:tblGrid>
        <w:gridCol w:w="9360"/>
      </w:tblGrid>
      <w:tr w:rsidR="00EB12D3" w14:paraId="50F1B1AE" w14:textId="77777777" w:rsidTr="00967BF8">
        <w:tc>
          <w:tcPr>
            <w:tcW w:w="9360" w:type="dxa"/>
          </w:tcPr>
          <w:p w14:paraId="661687E0" w14:textId="77777777" w:rsidR="008423E4" w:rsidRPr="00A8133F" w:rsidRDefault="00171E14" w:rsidP="00153669">
            <w:pPr>
              <w:rPr>
                <w:b/>
              </w:rPr>
            </w:pPr>
            <w:r w:rsidRPr="009C1E9A">
              <w:rPr>
                <w:b/>
                <w:u w:val="single"/>
              </w:rPr>
              <w:t>BACKGROUND AND PURPOSE</w:t>
            </w:r>
            <w:r>
              <w:rPr>
                <w:b/>
              </w:rPr>
              <w:t xml:space="preserve"> </w:t>
            </w:r>
          </w:p>
          <w:p w14:paraId="09677BC3" w14:textId="77777777" w:rsidR="008423E4" w:rsidRDefault="008423E4" w:rsidP="00153669"/>
          <w:p w14:paraId="6203A415" w14:textId="49C147BB" w:rsidR="008423E4" w:rsidRPr="00125533" w:rsidRDefault="00171E14" w:rsidP="00153669">
            <w:pPr>
              <w:pStyle w:val="Header"/>
              <w:tabs>
                <w:tab w:val="clear" w:pos="4320"/>
                <w:tab w:val="clear" w:pos="8640"/>
              </w:tabs>
              <w:jc w:val="both"/>
            </w:pPr>
            <w:r w:rsidRPr="00125533">
              <w:t xml:space="preserve">Texas hosts world class </w:t>
            </w:r>
            <w:r w:rsidR="00312CD7">
              <w:t xml:space="preserve">public </w:t>
            </w:r>
            <w:r w:rsidRPr="00125533">
              <w:t xml:space="preserve">institutions of higher education that are as diverse as the state itself. However, certain </w:t>
            </w:r>
            <w:r w:rsidR="00AA6F4C">
              <w:t>d</w:t>
            </w:r>
            <w:r w:rsidRPr="00125533">
              <w:t xml:space="preserve">iversity, </w:t>
            </w:r>
            <w:r w:rsidR="00AA6F4C">
              <w:t>e</w:t>
            </w:r>
            <w:r w:rsidRPr="00125533">
              <w:t xml:space="preserve">quity, and </w:t>
            </w:r>
            <w:r w:rsidR="00AA6F4C">
              <w:t>i</w:t>
            </w:r>
            <w:r w:rsidRPr="00125533">
              <w:t xml:space="preserve">nclusion (DEI) practices are polarizing and work against the goal of inclusion. </w:t>
            </w:r>
            <w:r w:rsidR="00AA6F4C">
              <w:t>C.S.</w:t>
            </w:r>
            <w:r w:rsidRPr="00125533">
              <w:t xml:space="preserve">S.B. 17 prohibits </w:t>
            </w:r>
            <w:r w:rsidR="00312CD7">
              <w:t xml:space="preserve">public institutions of higher education </w:t>
            </w:r>
            <w:r w:rsidRPr="00125533">
              <w:t xml:space="preserve">from establishing or maintaining DEI offices, officers, employees, or contractors that perform the duties of a DEI office. </w:t>
            </w:r>
            <w:r w:rsidR="00AA6F4C">
              <w:t>The bill</w:t>
            </w:r>
            <w:r w:rsidRPr="00125533">
              <w:t xml:space="preserve"> also prohibits requiring </w:t>
            </w:r>
            <w:r w:rsidR="00312CD7">
              <w:t xml:space="preserve">related </w:t>
            </w:r>
            <w:r w:rsidRPr="00125533">
              <w:t>training</w:t>
            </w:r>
            <w:r w:rsidR="00312CD7">
              <w:t>.</w:t>
            </w:r>
          </w:p>
          <w:p w14:paraId="40BA94F7" w14:textId="77777777" w:rsidR="008423E4" w:rsidRPr="00E26B13" w:rsidRDefault="008423E4" w:rsidP="00153669">
            <w:pPr>
              <w:rPr>
                <w:b/>
              </w:rPr>
            </w:pPr>
          </w:p>
        </w:tc>
      </w:tr>
      <w:tr w:rsidR="00EB12D3" w14:paraId="70D3F233" w14:textId="77777777" w:rsidTr="00967BF8">
        <w:tc>
          <w:tcPr>
            <w:tcW w:w="9360" w:type="dxa"/>
          </w:tcPr>
          <w:p w14:paraId="633A33E7" w14:textId="77777777" w:rsidR="0017725B" w:rsidRDefault="00171E14" w:rsidP="00153669">
            <w:pPr>
              <w:rPr>
                <w:b/>
                <w:u w:val="single"/>
              </w:rPr>
            </w:pPr>
            <w:r>
              <w:rPr>
                <w:b/>
                <w:u w:val="single"/>
              </w:rPr>
              <w:t>CRIMINAL JUSTICE IMPACT</w:t>
            </w:r>
          </w:p>
          <w:p w14:paraId="4AE62100" w14:textId="77777777" w:rsidR="0017725B" w:rsidRDefault="0017725B" w:rsidP="00153669">
            <w:pPr>
              <w:rPr>
                <w:b/>
                <w:u w:val="single"/>
              </w:rPr>
            </w:pPr>
          </w:p>
          <w:p w14:paraId="74369DB1" w14:textId="6E4C7BF2" w:rsidR="00415556" w:rsidRPr="00415556" w:rsidRDefault="00171E14" w:rsidP="00153669">
            <w:pPr>
              <w:jc w:val="both"/>
            </w:pPr>
            <w:r>
              <w:t>It is the committee's opinion that this bill does not</w:t>
            </w:r>
            <w:r>
              <w:t xml:space="preserve"> expressly create a criminal offense, increase the punishment for an existing criminal offense or category of offenses, or change the eligibility of a person for community supervision, parole, or mandatory supervision.</w:t>
            </w:r>
          </w:p>
          <w:p w14:paraId="29EFD53B" w14:textId="77777777" w:rsidR="0017725B" w:rsidRPr="0017725B" w:rsidRDefault="0017725B" w:rsidP="00153669">
            <w:pPr>
              <w:rPr>
                <w:b/>
                <w:u w:val="single"/>
              </w:rPr>
            </w:pPr>
          </w:p>
        </w:tc>
      </w:tr>
      <w:tr w:rsidR="00EB12D3" w14:paraId="3C510C42" w14:textId="77777777" w:rsidTr="00967BF8">
        <w:tc>
          <w:tcPr>
            <w:tcW w:w="9360" w:type="dxa"/>
          </w:tcPr>
          <w:p w14:paraId="0DFF9075" w14:textId="77777777" w:rsidR="008423E4" w:rsidRPr="00A8133F" w:rsidRDefault="00171E14" w:rsidP="00153669">
            <w:pPr>
              <w:rPr>
                <w:b/>
              </w:rPr>
            </w:pPr>
            <w:r w:rsidRPr="009C1E9A">
              <w:rPr>
                <w:b/>
                <w:u w:val="single"/>
              </w:rPr>
              <w:t>RULEMAKING AUTHORITY</w:t>
            </w:r>
            <w:r>
              <w:rPr>
                <w:b/>
              </w:rPr>
              <w:t xml:space="preserve"> </w:t>
            </w:r>
          </w:p>
          <w:p w14:paraId="20558AC8" w14:textId="77777777" w:rsidR="008423E4" w:rsidRDefault="008423E4" w:rsidP="00153669"/>
          <w:p w14:paraId="05F940CF" w14:textId="4637F77A" w:rsidR="00415556" w:rsidRDefault="00171E14" w:rsidP="00153669">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14:paraId="543625B2" w14:textId="77777777" w:rsidR="008423E4" w:rsidRPr="00E21FDC" w:rsidRDefault="008423E4" w:rsidP="00153669">
            <w:pPr>
              <w:rPr>
                <w:b/>
              </w:rPr>
            </w:pPr>
          </w:p>
        </w:tc>
      </w:tr>
      <w:tr w:rsidR="00EB12D3" w14:paraId="7B6B1862" w14:textId="77777777" w:rsidTr="00967BF8">
        <w:tc>
          <w:tcPr>
            <w:tcW w:w="9360" w:type="dxa"/>
          </w:tcPr>
          <w:p w14:paraId="0C501DB7" w14:textId="77777777" w:rsidR="008423E4" w:rsidRPr="00A8133F" w:rsidRDefault="00171E14" w:rsidP="00153669">
            <w:pPr>
              <w:rPr>
                <w:b/>
              </w:rPr>
            </w:pPr>
            <w:r w:rsidRPr="009C1E9A">
              <w:rPr>
                <w:b/>
                <w:u w:val="single"/>
              </w:rPr>
              <w:t>ANALYSIS</w:t>
            </w:r>
            <w:r>
              <w:rPr>
                <w:b/>
              </w:rPr>
              <w:t xml:space="preserve"> </w:t>
            </w:r>
          </w:p>
          <w:p w14:paraId="7890B1DF" w14:textId="77777777" w:rsidR="008423E4" w:rsidRDefault="008423E4" w:rsidP="00153669"/>
          <w:p w14:paraId="1A4D8E97" w14:textId="0121836D" w:rsidR="003F6614" w:rsidRDefault="00171E14" w:rsidP="00153669">
            <w:pPr>
              <w:pStyle w:val="Header"/>
              <w:jc w:val="both"/>
            </w:pPr>
            <w:r>
              <w:t>C.S.</w:t>
            </w:r>
            <w:r w:rsidR="00386FEE">
              <w:t xml:space="preserve">S.B. 17 amends the Education Code to </w:t>
            </w:r>
            <w:r>
              <w:t xml:space="preserve">require a </w:t>
            </w:r>
            <w:r w:rsidRPr="003F6614">
              <w:t xml:space="preserve">public institution </w:t>
            </w:r>
            <w:r w:rsidRPr="003F6614">
              <w:t xml:space="preserve">of higher education </w:t>
            </w:r>
            <w:r>
              <w:t>to</w:t>
            </w:r>
            <w:r w:rsidRPr="003F6614">
              <w:t xml:space="preserve"> be committed to creating an environment of</w:t>
            </w:r>
            <w:r>
              <w:t xml:space="preserve"> intellectual inquiry and academic freedom</w:t>
            </w:r>
            <w:r w:rsidR="00AA6F4C">
              <w:t>,</w:t>
            </w:r>
            <w:r>
              <w:t xml:space="preserve"> so that all students are equipped for participation in the workforce and the betterment of society</w:t>
            </w:r>
            <w:r w:rsidR="00AA6F4C">
              <w:t>,</w:t>
            </w:r>
            <w:r>
              <w:t xml:space="preserve"> and intellectual diversity</w:t>
            </w:r>
            <w:r w:rsidR="00AA6F4C">
              <w:t>,</w:t>
            </w:r>
            <w:r>
              <w:t xml:space="preserve"> so that all student</w:t>
            </w:r>
            <w:r>
              <w:t>s are respected and educated regardless of race, sex, or ethnicity or social, political, or religious background or belief.</w:t>
            </w:r>
          </w:p>
          <w:p w14:paraId="42A6CC07" w14:textId="77777777" w:rsidR="003F6614" w:rsidRDefault="003F6614" w:rsidP="00153669">
            <w:pPr>
              <w:pStyle w:val="Header"/>
              <w:tabs>
                <w:tab w:val="clear" w:pos="4320"/>
                <w:tab w:val="clear" w:pos="8640"/>
              </w:tabs>
              <w:jc w:val="both"/>
            </w:pPr>
          </w:p>
          <w:p w14:paraId="6204A149" w14:textId="1EC78E67" w:rsidR="009C36CD" w:rsidRDefault="00171E14" w:rsidP="00153669">
            <w:pPr>
              <w:pStyle w:val="Header"/>
              <w:tabs>
                <w:tab w:val="clear" w:pos="4320"/>
                <w:tab w:val="clear" w:pos="8640"/>
              </w:tabs>
              <w:jc w:val="both"/>
            </w:pPr>
            <w:r>
              <w:t xml:space="preserve">C.S.S.B. 17 </w:t>
            </w:r>
            <w:r w:rsidR="00386FEE">
              <w:t>define</w:t>
            </w:r>
            <w:r>
              <w:t>s</w:t>
            </w:r>
            <w:r w:rsidR="00386FEE">
              <w:t xml:space="preserve"> "</w:t>
            </w:r>
            <w:r w:rsidR="00386FEE" w:rsidRPr="00386FEE">
              <w:t>diversity, equity, and inclusion office</w:t>
            </w:r>
            <w:r w:rsidR="00386FEE">
              <w:t xml:space="preserve">" </w:t>
            </w:r>
            <w:r w:rsidR="0057188F">
              <w:t>(DEI)</w:t>
            </w:r>
            <w:r w:rsidR="0053653C">
              <w:t>,</w:t>
            </w:r>
            <w:r w:rsidR="0057188F">
              <w:t xml:space="preserve"> </w:t>
            </w:r>
            <w:r w:rsidR="00847B21">
              <w:t xml:space="preserve">for the purposes of its provisions, </w:t>
            </w:r>
            <w:r w:rsidR="00386FEE">
              <w:t xml:space="preserve">as </w:t>
            </w:r>
            <w:r w:rsidR="00386FEE" w:rsidRPr="00386FEE">
              <w:t>an office, division, or other unit of a</w:t>
            </w:r>
            <w:r w:rsidR="00312CD7">
              <w:t xml:space="preserve"> public</w:t>
            </w:r>
            <w:r w:rsidR="00386FEE" w:rsidRPr="00386FEE">
              <w:t xml:space="preserve"> institution of higher education established for the</w:t>
            </w:r>
            <w:r w:rsidR="00847B21">
              <w:t xml:space="preserve"> following</w:t>
            </w:r>
            <w:r w:rsidR="00386FEE" w:rsidRPr="00386FEE">
              <w:t xml:space="preserve"> purpose</w:t>
            </w:r>
            <w:r w:rsidR="00847B21">
              <w:t>s</w:t>
            </w:r>
            <w:r w:rsidR="00386FEE" w:rsidRPr="00386FEE">
              <w:t>:</w:t>
            </w:r>
          </w:p>
          <w:p w14:paraId="633AE984" w14:textId="161E486D" w:rsidR="00386FEE" w:rsidRDefault="00171E14" w:rsidP="00153669">
            <w:pPr>
              <w:pStyle w:val="Header"/>
              <w:numPr>
                <w:ilvl w:val="0"/>
                <w:numId w:val="1"/>
              </w:numPr>
              <w:jc w:val="both"/>
            </w:pPr>
            <w:r>
              <w:t>engaging in hiring or employment practices at the institution that give preferential treatment on the basis of race, sex, color, or ethnicity, other than throug</w:t>
            </w:r>
            <w:r>
              <w:t>h the use of nondiscriminatory hiring processes in accordance with any applicable state and federal antidiscrimination laws;</w:t>
            </w:r>
          </w:p>
          <w:p w14:paraId="0FCF41C7" w14:textId="360B6A20" w:rsidR="00386FEE" w:rsidRDefault="00171E14" w:rsidP="00153669">
            <w:pPr>
              <w:pStyle w:val="Header"/>
              <w:numPr>
                <w:ilvl w:val="0"/>
                <w:numId w:val="1"/>
              </w:numPr>
              <w:jc w:val="both"/>
            </w:pPr>
            <w:r>
              <w:t>pro</w:t>
            </w:r>
            <w:r w:rsidR="00D41021">
              <w:t>viding</w:t>
            </w:r>
            <w:r>
              <w:t xml:space="preserve"> differential treatment to individuals on the basis of race, </w:t>
            </w:r>
            <w:r w:rsidR="00D41021">
              <w:t xml:space="preserve">sex, </w:t>
            </w:r>
            <w:r>
              <w:t>color, or ethnicity;</w:t>
            </w:r>
          </w:p>
          <w:p w14:paraId="375C16DB" w14:textId="69A66F5A" w:rsidR="00386FEE" w:rsidRDefault="00171E14" w:rsidP="00153669">
            <w:pPr>
              <w:pStyle w:val="Header"/>
              <w:numPr>
                <w:ilvl w:val="0"/>
                <w:numId w:val="1"/>
              </w:numPr>
              <w:jc w:val="both"/>
            </w:pPr>
            <w:r>
              <w:t>implementing policies or procedures</w:t>
            </w:r>
            <w:r>
              <w:t xml:space="preserve"> </w:t>
            </w:r>
            <w:r w:rsidRPr="00D41021">
              <w:t>that give preferential treatment on the basis of race, sex</w:t>
            </w:r>
            <w:r>
              <w:t xml:space="preserve">, color, or ethnicity, other than policies or procedures approved in writing by the institution's general counsel for the purpose of ensuring compliance with any applicable court order or state or </w:t>
            </w:r>
            <w:r>
              <w:t xml:space="preserve">federal law in </w:t>
            </w:r>
            <w:r w:rsidRPr="00D41021">
              <w:t>accordance with institutional policy</w:t>
            </w:r>
            <w:r>
              <w:t>; or</w:t>
            </w:r>
          </w:p>
          <w:p w14:paraId="49C0A131" w14:textId="26A15B22" w:rsidR="00386FEE" w:rsidRDefault="00171E14" w:rsidP="00153669">
            <w:pPr>
              <w:pStyle w:val="Header"/>
              <w:numPr>
                <w:ilvl w:val="0"/>
                <w:numId w:val="1"/>
              </w:numPr>
              <w:tabs>
                <w:tab w:val="clear" w:pos="4320"/>
                <w:tab w:val="clear" w:pos="8640"/>
              </w:tabs>
              <w:jc w:val="both"/>
            </w:pPr>
            <w:r w:rsidRPr="00D41021">
              <w:t>conducting trainings, programs, or activities that advocate for or give preferential treatment on the basis of race, sex, color, ethnicity, gender identity, or sexual orientation, other than trainings</w:t>
            </w:r>
            <w:r w:rsidRPr="00D41021">
              <w:t>, programs, or activities developed by an attorney and approved in writing by the institution's general counsel for the purpose of ensuring compliance with any applicable court order or state or federal law in accordance with institutional policy.</w:t>
            </w:r>
          </w:p>
          <w:p w14:paraId="26A658C5" w14:textId="77777777" w:rsidR="00386FEE" w:rsidRDefault="00386FEE" w:rsidP="00153669">
            <w:pPr>
              <w:pStyle w:val="Header"/>
              <w:tabs>
                <w:tab w:val="clear" w:pos="4320"/>
                <w:tab w:val="clear" w:pos="8640"/>
              </w:tabs>
              <w:jc w:val="both"/>
            </w:pPr>
          </w:p>
          <w:p w14:paraId="531D427C" w14:textId="1731DEBA" w:rsidR="00386FEE" w:rsidRDefault="00171E14" w:rsidP="00153669">
            <w:pPr>
              <w:pStyle w:val="Header"/>
              <w:tabs>
                <w:tab w:val="clear" w:pos="4320"/>
                <w:tab w:val="clear" w:pos="8640"/>
              </w:tabs>
              <w:jc w:val="both"/>
            </w:pPr>
            <w:r>
              <w:t>C.S.S.B</w:t>
            </w:r>
            <w:r>
              <w:t xml:space="preserve">. 17 requires the governing board of </w:t>
            </w:r>
            <w:r w:rsidR="00F961A2">
              <w:t xml:space="preserve">a public </w:t>
            </w:r>
            <w:r>
              <w:t>institution of higher education to ensure that each unit of the institution does not, except as required by federal law</w:t>
            </w:r>
            <w:r w:rsidR="00B427C8">
              <w:t xml:space="preserve"> or </w:t>
            </w:r>
            <w:r w:rsidR="00874FE2">
              <w:t xml:space="preserve">otherwise </w:t>
            </w:r>
            <w:r w:rsidR="0057188F">
              <w:t xml:space="preserve">provided by </w:t>
            </w:r>
            <w:r w:rsidR="00B427C8">
              <w:t>the bill's provisions</w:t>
            </w:r>
            <w:r w:rsidR="0057188F">
              <w:t>, do the following</w:t>
            </w:r>
            <w:r>
              <w:t>:</w:t>
            </w:r>
          </w:p>
          <w:p w14:paraId="3D0796F4" w14:textId="6F3A41F6" w:rsidR="00386FEE" w:rsidRDefault="00171E14" w:rsidP="00153669">
            <w:pPr>
              <w:pStyle w:val="Header"/>
              <w:numPr>
                <w:ilvl w:val="0"/>
                <w:numId w:val="2"/>
              </w:numPr>
              <w:jc w:val="both"/>
            </w:pPr>
            <w:r>
              <w:t xml:space="preserve">establish or maintain a </w:t>
            </w:r>
            <w:r w:rsidR="0057188F">
              <w:t>DEI</w:t>
            </w:r>
            <w:r>
              <w:t xml:space="preserve"> office;</w:t>
            </w:r>
          </w:p>
          <w:p w14:paraId="3D488D79" w14:textId="290163A5" w:rsidR="00386FEE" w:rsidRDefault="00171E14" w:rsidP="00153669">
            <w:pPr>
              <w:pStyle w:val="Header"/>
              <w:numPr>
                <w:ilvl w:val="0"/>
                <w:numId w:val="2"/>
              </w:numPr>
              <w:jc w:val="both"/>
            </w:pPr>
            <w:r>
              <w:t xml:space="preserve">hire or assign an employee of the institution or contract with a third party to perform the duties of a </w:t>
            </w:r>
            <w:r w:rsidR="0057188F">
              <w:t>DEI</w:t>
            </w:r>
            <w:r>
              <w:t xml:space="preserve"> office;</w:t>
            </w:r>
          </w:p>
          <w:p w14:paraId="6EB2F3CE" w14:textId="1C41E0D6" w:rsidR="00386FEE" w:rsidRDefault="00171E14" w:rsidP="00153669">
            <w:pPr>
              <w:pStyle w:val="Header"/>
              <w:numPr>
                <w:ilvl w:val="0"/>
                <w:numId w:val="2"/>
              </w:numPr>
              <w:jc w:val="both"/>
            </w:pPr>
            <w:r>
              <w:t xml:space="preserve">compel, require, induce, or solicit any person to provide a </w:t>
            </w:r>
            <w:r w:rsidR="0057188F">
              <w:t>DEI</w:t>
            </w:r>
            <w:r>
              <w:t xml:space="preserve"> statement or give preferential considera</w:t>
            </w:r>
            <w:r>
              <w:t xml:space="preserve">tion to any person based on the provision of a </w:t>
            </w:r>
            <w:r w:rsidR="00A51ACB">
              <w:t>DEI</w:t>
            </w:r>
            <w:r>
              <w:t xml:space="preserve"> statement;</w:t>
            </w:r>
          </w:p>
          <w:p w14:paraId="51E080BA" w14:textId="3873D86E" w:rsidR="00386FEE" w:rsidRDefault="00171E14" w:rsidP="00153669">
            <w:pPr>
              <w:pStyle w:val="Header"/>
              <w:numPr>
                <w:ilvl w:val="0"/>
                <w:numId w:val="2"/>
              </w:numPr>
              <w:jc w:val="both"/>
            </w:pPr>
            <w:r>
              <w:t>give preference on the basis of race, sex, color, ethnicity, or national origin to an applicant for employment, an employee, or a participant in any function of the institution; or</w:t>
            </w:r>
          </w:p>
          <w:p w14:paraId="0D1C5792" w14:textId="1524FF30" w:rsidR="00386FEE" w:rsidRDefault="00171E14" w:rsidP="00153669">
            <w:pPr>
              <w:pStyle w:val="Header"/>
              <w:numPr>
                <w:ilvl w:val="0"/>
                <w:numId w:val="2"/>
              </w:numPr>
              <w:jc w:val="both"/>
            </w:pPr>
            <w:r>
              <w:t>require</w:t>
            </w:r>
            <w:r w:rsidR="00874FE2">
              <w:t xml:space="preserve"> any person,</w:t>
            </w:r>
            <w:r>
              <w:t xml:space="preserve"> as a condition of enrolling at the institution or performing any institution function</w:t>
            </w:r>
            <w:r w:rsidR="00874FE2">
              <w:t>,</w:t>
            </w:r>
            <w:r>
              <w:t xml:space="preserve"> to participate in </w:t>
            </w:r>
            <w:r w:rsidR="00A51ACB">
              <w:t>DEI</w:t>
            </w:r>
            <w:r>
              <w:t xml:space="preserve"> training, which</w:t>
            </w:r>
            <w:r w:rsidR="00A51ACB">
              <w:t>, as follows</w:t>
            </w:r>
            <w:r>
              <w:t>:</w:t>
            </w:r>
          </w:p>
          <w:p w14:paraId="3715A44B" w14:textId="10013426" w:rsidR="00386FEE" w:rsidRDefault="00171E14" w:rsidP="00153669">
            <w:pPr>
              <w:pStyle w:val="Header"/>
              <w:numPr>
                <w:ilvl w:val="1"/>
                <w:numId w:val="2"/>
              </w:numPr>
              <w:jc w:val="both"/>
            </w:pPr>
            <w:r>
              <w:t>includes a training, program, or activity</w:t>
            </w:r>
            <w:r w:rsidR="00B427C8">
              <w:t xml:space="preserve"> that advocates for or gives preferential treatment on the basis of race, sex</w:t>
            </w:r>
            <w:r>
              <w:t>, color, ethnicity, gender identity, or sexual orientation; and</w:t>
            </w:r>
          </w:p>
          <w:p w14:paraId="1A43F413" w14:textId="6E2B0908" w:rsidR="00386FEE" w:rsidRDefault="00171E14" w:rsidP="00153669">
            <w:pPr>
              <w:pStyle w:val="Header"/>
              <w:numPr>
                <w:ilvl w:val="1"/>
                <w:numId w:val="2"/>
              </w:numPr>
              <w:jc w:val="both"/>
            </w:pPr>
            <w:r>
              <w:t>does not include a training, program, or activity developed by an attorney and approved in writing by the instituti</w:t>
            </w:r>
            <w:r>
              <w:t>on's general counsel for the purpose of ensuring compliance with any applicable court order or state or federal law</w:t>
            </w:r>
            <w:r w:rsidR="00B427C8">
              <w:t xml:space="preserve"> in accordance with institutional policy</w:t>
            </w:r>
            <w:r w:rsidR="00AA2935">
              <w:t>.</w:t>
            </w:r>
          </w:p>
          <w:p w14:paraId="6A800073" w14:textId="7D03C63E" w:rsidR="00A51ACB" w:rsidRDefault="00171E14" w:rsidP="00153669">
            <w:pPr>
              <w:pStyle w:val="Header"/>
              <w:tabs>
                <w:tab w:val="clear" w:pos="4320"/>
                <w:tab w:val="clear" w:pos="8640"/>
              </w:tabs>
              <w:jc w:val="both"/>
            </w:pPr>
            <w:r>
              <w:t>Additionally, t</w:t>
            </w:r>
            <w:r w:rsidR="00AA2935">
              <w:t xml:space="preserve">he bill requires the governing board </w:t>
            </w:r>
            <w:r>
              <w:t xml:space="preserve">of </w:t>
            </w:r>
            <w:r w:rsidR="00312CD7">
              <w:t>a public</w:t>
            </w:r>
            <w:r>
              <w:t xml:space="preserve"> institution of higher education </w:t>
            </w:r>
            <w:r w:rsidR="00AA2935">
              <w:t xml:space="preserve">to ensure that each unit of the institution </w:t>
            </w:r>
            <w:r w:rsidR="00386FEE">
              <w:t xml:space="preserve">adopts policies and procedures for </w:t>
            </w:r>
            <w:r w:rsidR="00B427C8">
              <w:t xml:space="preserve">appropriately </w:t>
            </w:r>
            <w:r w:rsidR="00386FEE">
              <w:t>disciplining</w:t>
            </w:r>
            <w:r w:rsidR="00B427C8">
              <w:t>, including by termination,</w:t>
            </w:r>
            <w:r w:rsidR="00386FEE">
              <w:t xml:space="preserve"> an employee or contractor of the institution who engages in conduct in violation of</w:t>
            </w:r>
            <w:r w:rsidR="00AA2935">
              <w:t xml:space="preserve"> </w:t>
            </w:r>
            <w:r>
              <w:t>such prohibitions</w:t>
            </w:r>
            <w:r w:rsidR="00B427C8">
              <w:t xml:space="preserve">. </w:t>
            </w:r>
          </w:p>
          <w:p w14:paraId="194DB2E3" w14:textId="77777777" w:rsidR="00A51ACB" w:rsidRDefault="00A51ACB" w:rsidP="00153669">
            <w:pPr>
              <w:pStyle w:val="Header"/>
              <w:tabs>
                <w:tab w:val="clear" w:pos="4320"/>
                <w:tab w:val="clear" w:pos="8640"/>
              </w:tabs>
              <w:jc w:val="both"/>
            </w:pPr>
          </w:p>
          <w:p w14:paraId="161E7871" w14:textId="01CAF419" w:rsidR="00B427C8" w:rsidRDefault="00171E14" w:rsidP="00153669">
            <w:pPr>
              <w:pStyle w:val="Header"/>
              <w:tabs>
                <w:tab w:val="clear" w:pos="4320"/>
                <w:tab w:val="clear" w:pos="8640"/>
              </w:tabs>
              <w:jc w:val="both"/>
            </w:pPr>
            <w:r>
              <w:t>C.S.S.B. 17 authorize</w:t>
            </w:r>
            <w:r>
              <w:t xml:space="preserve">s the governing board of </w:t>
            </w:r>
            <w:r w:rsidR="00F961A2">
              <w:t>a public</w:t>
            </w:r>
            <w:r>
              <w:t xml:space="preserve"> institution of higher education to </w:t>
            </w:r>
            <w:r w:rsidRPr="00B427C8">
              <w:t xml:space="preserve">approve the institution's implementation of </w:t>
            </w:r>
            <w:r w:rsidR="008C1BD8">
              <w:t xml:space="preserve">a </w:t>
            </w:r>
            <w:r w:rsidRPr="00B427C8">
              <w:t xml:space="preserve">program </w:t>
            </w:r>
            <w:r w:rsidR="008C1BD8">
              <w:t xml:space="preserve">otherwise prohibited under the bill </w:t>
            </w:r>
            <w:r>
              <w:t>if the governing board determines that the program</w:t>
            </w:r>
            <w:r w:rsidR="008C1BD8">
              <w:t xml:space="preserve"> </w:t>
            </w:r>
            <w:r>
              <w:t>otherwise complies with applicable state and f</w:t>
            </w:r>
            <w:r>
              <w:t>ederal law and</w:t>
            </w:r>
            <w:r w:rsidR="008C1BD8">
              <w:t xml:space="preserve"> </w:t>
            </w:r>
            <w:r>
              <w:t>is necessary for the institution to comply with</w:t>
            </w:r>
            <w:r w:rsidR="008C1BD8">
              <w:t xml:space="preserve"> </w:t>
            </w:r>
            <w:r>
              <w:t xml:space="preserve">the </w:t>
            </w:r>
            <w:r w:rsidR="008C1BD8">
              <w:t xml:space="preserve">standards or requirements of the institution's accrediting agency or with the </w:t>
            </w:r>
            <w:r>
              <w:t>terms of a grant awarded by or contract with the federal government, a private entity, or a nonprofit</w:t>
            </w:r>
            <w:r w:rsidR="008C1BD8">
              <w:t xml:space="preserve"> organization</w:t>
            </w:r>
            <w:r>
              <w:t>.</w:t>
            </w:r>
          </w:p>
          <w:p w14:paraId="57587AE5" w14:textId="786F75E9" w:rsidR="00AA2935" w:rsidRDefault="00AA2935" w:rsidP="00153669">
            <w:pPr>
              <w:pStyle w:val="Header"/>
              <w:tabs>
                <w:tab w:val="clear" w:pos="4320"/>
                <w:tab w:val="clear" w:pos="8640"/>
              </w:tabs>
              <w:jc w:val="both"/>
            </w:pPr>
          </w:p>
          <w:p w14:paraId="670B70DD" w14:textId="018166B8" w:rsidR="00AA2935" w:rsidRDefault="00171E14" w:rsidP="00153669">
            <w:pPr>
              <w:pStyle w:val="Header"/>
              <w:tabs>
                <w:tab w:val="clear" w:pos="4320"/>
                <w:tab w:val="clear" w:pos="8640"/>
              </w:tabs>
              <w:jc w:val="both"/>
            </w:pPr>
            <w:r>
              <w:t xml:space="preserve">C.S.S.B. 17 prohibits the </w:t>
            </w:r>
            <w:r w:rsidR="00764C59">
              <w:t xml:space="preserve">bill's </w:t>
            </w:r>
            <w:r>
              <w:t xml:space="preserve">provisions regarding the regulation of </w:t>
            </w:r>
            <w:r w:rsidR="00764C59">
              <w:t>DEI</w:t>
            </w:r>
            <w:r w:rsidRPr="00AA2935">
              <w:t xml:space="preserve"> offices</w:t>
            </w:r>
            <w:r w:rsidR="00764C59">
              <w:t xml:space="preserve"> and programs</w:t>
            </w:r>
            <w:r>
              <w:t xml:space="preserve"> from being construed to apply to</w:t>
            </w:r>
            <w:r w:rsidR="00764C59">
              <w:t xml:space="preserve"> the following</w:t>
            </w:r>
            <w:r>
              <w:t>:</w:t>
            </w:r>
          </w:p>
          <w:p w14:paraId="4D205D71" w14:textId="77777777" w:rsidR="00AA2935" w:rsidRDefault="00171E14" w:rsidP="00153669">
            <w:pPr>
              <w:pStyle w:val="Header"/>
              <w:numPr>
                <w:ilvl w:val="0"/>
                <w:numId w:val="3"/>
              </w:numPr>
              <w:jc w:val="both"/>
            </w:pPr>
            <w:r>
              <w:t>academic course instruction;</w:t>
            </w:r>
          </w:p>
          <w:p w14:paraId="36B44A26" w14:textId="5C4E4D46" w:rsidR="00AA2935" w:rsidRDefault="00171E14" w:rsidP="00153669">
            <w:pPr>
              <w:pStyle w:val="Header"/>
              <w:numPr>
                <w:ilvl w:val="0"/>
                <w:numId w:val="3"/>
              </w:numPr>
              <w:jc w:val="both"/>
            </w:pPr>
            <w:r>
              <w:t>scholarly research or a creative work by a</w:t>
            </w:r>
            <w:r w:rsidR="00F961A2">
              <w:t xml:space="preserve"> public</w:t>
            </w:r>
            <w:r>
              <w:t xml:space="preserve"> institution of higher education's students, faculty, or other research personnel or the dissemination of that research or work;</w:t>
            </w:r>
          </w:p>
          <w:p w14:paraId="72FC83E8" w14:textId="42F76B9E" w:rsidR="00AA2935" w:rsidRDefault="00171E14" w:rsidP="00153669">
            <w:pPr>
              <w:pStyle w:val="Header"/>
              <w:numPr>
                <w:ilvl w:val="0"/>
                <w:numId w:val="3"/>
              </w:numPr>
              <w:jc w:val="both"/>
            </w:pPr>
            <w:r>
              <w:t xml:space="preserve">an activity of a student organization registered with or recognized by </w:t>
            </w:r>
            <w:r w:rsidR="00F961A2">
              <w:t xml:space="preserve">a public </w:t>
            </w:r>
            <w:r>
              <w:t>institution of higher education;</w:t>
            </w:r>
          </w:p>
          <w:p w14:paraId="047476D5" w14:textId="461946EA" w:rsidR="00AA2935" w:rsidRDefault="00171E14" w:rsidP="00153669">
            <w:pPr>
              <w:pStyle w:val="Header"/>
              <w:numPr>
                <w:ilvl w:val="0"/>
                <w:numId w:val="3"/>
              </w:numPr>
              <w:jc w:val="both"/>
            </w:pPr>
            <w:r>
              <w:t>guest speakers</w:t>
            </w:r>
            <w:r>
              <w:t xml:space="preserve"> or performers on short-term engagements;</w:t>
            </w:r>
          </w:p>
          <w:p w14:paraId="1E90CD4B" w14:textId="5C979AE3" w:rsidR="00AA2935" w:rsidRDefault="00171E14" w:rsidP="00153669">
            <w:pPr>
              <w:pStyle w:val="Header"/>
              <w:numPr>
                <w:ilvl w:val="0"/>
                <w:numId w:val="3"/>
              </w:numPr>
              <w:jc w:val="both"/>
            </w:pPr>
            <w:r>
              <w:t xml:space="preserve">a program or activity to enhance student academic achievement or postgraduate outcomes that </w:t>
            </w:r>
            <w:r w:rsidR="005507C9">
              <w:t xml:space="preserve">allows participation </w:t>
            </w:r>
            <w:r>
              <w:t xml:space="preserve">without regard to race, </w:t>
            </w:r>
            <w:r w:rsidR="00764C59">
              <w:t xml:space="preserve">sex, </w:t>
            </w:r>
            <w:r>
              <w:t xml:space="preserve">color, </w:t>
            </w:r>
            <w:r w:rsidR="00764C59">
              <w:t xml:space="preserve">or </w:t>
            </w:r>
            <w:r>
              <w:t>ethnicity;</w:t>
            </w:r>
          </w:p>
          <w:p w14:paraId="5CAF8DEC" w14:textId="3C88CFEB" w:rsidR="00AA2935" w:rsidRDefault="00171E14" w:rsidP="00153669">
            <w:pPr>
              <w:pStyle w:val="Header"/>
              <w:numPr>
                <w:ilvl w:val="0"/>
                <w:numId w:val="3"/>
              </w:numPr>
              <w:jc w:val="both"/>
            </w:pPr>
            <w:r>
              <w:t>data collection; or</w:t>
            </w:r>
          </w:p>
          <w:p w14:paraId="6F1129E8" w14:textId="4E5B627E" w:rsidR="00AA2935" w:rsidRDefault="00171E14" w:rsidP="00153669">
            <w:pPr>
              <w:pStyle w:val="Header"/>
              <w:numPr>
                <w:ilvl w:val="0"/>
                <w:numId w:val="3"/>
              </w:numPr>
              <w:tabs>
                <w:tab w:val="clear" w:pos="4320"/>
                <w:tab w:val="clear" w:pos="8640"/>
              </w:tabs>
              <w:jc w:val="both"/>
            </w:pPr>
            <w:r>
              <w:t xml:space="preserve">student </w:t>
            </w:r>
            <w:r w:rsidR="00764C59">
              <w:t xml:space="preserve">recruitment or </w:t>
            </w:r>
            <w:r>
              <w:t>admissio</w:t>
            </w:r>
            <w:r>
              <w:t>ns.</w:t>
            </w:r>
          </w:p>
          <w:p w14:paraId="30267028" w14:textId="4DA98872" w:rsidR="00AA2935" w:rsidRDefault="00AA2935" w:rsidP="00153669">
            <w:pPr>
              <w:pStyle w:val="Header"/>
              <w:tabs>
                <w:tab w:val="clear" w:pos="4320"/>
                <w:tab w:val="clear" w:pos="8640"/>
              </w:tabs>
              <w:jc w:val="both"/>
            </w:pPr>
          </w:p>
          <w:p w14:paraId="64295F39" w14:textId="754BB7D3" w:rsidR="00764C59" w:rsidRDefault="00171E14" w:rsidP="00153669">
            <w:pPr>
              <w:pStyle w:val="Header"/>
              <w:tabs>
                <w:tab w:val="clear" w:pos="4320"/>
                <w:tab w:val="clear" w:pos="8640"/>
              </w:tabs>
              <w:jc w:val="both"/>
            </w:pPr>
            <w:r>
              <w:t>C.S.</w:t>
            </w:r>
            <w:r w:rsidR="00AA2935">
              <w:t xml:space="preserve">S.B. 17 prohibits </w:t>
            </w:r>
            <w:r w:rsidR="00F961A2">
              <w:t xml:space="preserve">a public </w:t>
            </w:r>
            <w:r w:rsidR="00AA2935">
              <w:t>institution</w:t>
            </w:r>
            <w:r>
              <w:t xml:space="preserve"> of higher education</w:t>
            </w:r>
            <w:r w:rsidR="00AA2935">
              <w:t xml:space="preserve"> from spending money </w:t>
            </w:r>
            <w:r w:rsidR="00AA2935" w:rsidRPr="00AA2935">
              <w:t xml:space="preserve">appropriated to the institution for a state fiscal year until the </w:t>
            </w:r>
            <w:r>
              <w:t xml:space="preserve">institution's </w:t>
            </w:r>
            <w:r w:rsidR="00AA2935" w:rsidRPr="00AA2935">
              <w:t xml:space="preserve">governing board submits to the legislature and the Texas Higher Education Coordinating Board a report certifying the </w:t>
            </w:r>
            <w:r w:rsidR="00AA2935">
              <w:t xml:space="preserve">governing </w:t>
            </w:r>
            <w:r w:rsidR="00AA2935" w:rsidRPr="00AA2935">
              <w:t>board's compliance w</w:t>
            </w:r>
            <w:r w:rsidR="00AA2935">
              <w:t>ith the bill's provisions</w:t>
            </w:r>
            <w:r w:rsidR="00AA2935" w:rsidRPr="00AA2935">
              <w:t xml:space="preserve"> during the preceding state fiscal year.</w:t>
            </w:r>
            <w:r w:rsidR="00E13E3D">
              <w:t xml:space="preserve"> This prohibition applies </w:t>
            </w:r>
            <w:r w:rsidR="00E13E3D" w:rsidRPr="00E13E3D">
              <w:t>beginning with money appropriated to a public institution of higher education for the state fiscal year beginning September 1, 2024.</w:t>
            </w:r>
            <w:r w:rsidR="00E13E3D">
              <w:t xml:space="preserve"> </w:t>
            </w:r>
          </w:p>
          <w:p w14:paraId="2667D1FE" w14:textId="77777777" w:rsidR="00764C59" w:rsidRDefault="00764C59" w:rsidP="00153669">
            <w:pPr>
              <w:pStyle w:val="Header"/>
              <w:tabs>
                <w:tab w:val="clear" w:pos="4320"/>
                <w:tab w:val="clear" w:pos="8640"/>
              </w:tabs>
              <w:jc w:val="both"/>
            </w:pPr>
          </w:p>
          <w:p w14:paraId="7BE4560D" w14:textId="74D81309" w:rsidR="00AA2935" w:rsidRDefault="00171E14" w:rsidP="00153669">
            <w:pPr>
              <w:pStyle w:val="Header"/>
              <w:tabs>
                <w:tab w:val="clear" w:pos="4320"/>
                <w:tab w:val="clear" w:pos="8640"/>
              </w:tabs>
              <w:jc w:val="both"/>
            </w:pPr>
            <w:r>
              <w:t>C.S.S.B. 17</w:t>
            </w:r>
            <w:r w:rsidR="00E13E3D">
              <w:t xml:space="preserve"> requires </w:t>
            </w:r>
            <w:r w:rsidR="00E13E3D" w:rsidRPr="00E13E3D">
              <w:t xml:space="preserve">the governing board of each </w:t>
            </w:r>
            <w:r w:rsidR="00F961A2">
              <w:t xml:space="preserve">public </w:t>
            </w:r>
            <w:r w:rsidR="00E13E3D" w:rsidRPr="00E13E3D">
              <w:t>institution of higher education</w:t>
            </w:r>
            <w:r w:rsidR="00E13E3D">
              <w:t xml:space="preserve"> </w:t>
            </w:r>
            <w:r w:rsidR="00E13E3D" w:rsidRPr="00E13E3D">
              <w:t>or the board's designee,</w:t>
            </w:r>
            <w:r w:rsidR="00E13E3D">
              <w:t xml:space="preserve"> in the interim between each regular session of the legislature, to </w:t>
            </w:r>
            <w:r w:rsidR="00E13E3D" w:rsidRPr="00E13E3D">
              <w:t xml:space="preserve">testify before the standing legislative committees with primary jurisdiction over higher education at a public hearing of the committee regarding the board's compliance with </w:t>
            </w:r>
            <w:r w:rsidR="00E13E3D">
              <w:t>the bill's provisions</w:t>
            </w:r>
            <w:r w:rsidR="00E13E3D" w:rsidRPr="00E13E3D">
              <w:t>.</w:t>
            </w:r>
          </w:p>
          <w:p w14:paraId="5226C2DC" w14:textId="1A9E7A2B" w:rsidR="003200E7" w:rsidRDefault="003200E7" w:rsidP="00153669">
            <w:pPr>
              <w:pStyle w:val="Header"/>
              <w:tabs>
                <w:tab w:val="clear" w:pos="4320"/>
                <w:tab w:val="clear" w:pos="8640"/>
              </w:tabs>
              <w:jc w:val="both"/>
            </w:pPr>
          </w:p>
          <w:p w14:paraId="25B0B02A" w14:textId="354208E9" w:rsidR="003200E7" w:rsidRPr="009C36CD" w:rsidRDefault="00171E14" w:rsidP="00153669">
            <w:pPr>
              <w:pStyle w:val="Header"/>
              <w:tabs>
                <w:tab w:val="clear" w:pos="4320"/>
                <w:tab w:val="clear" w:pos="8640"/>
              </w:tabs>
              <w:jc w:val="both"/>
            </w:pPr>
            <w:r>
              <w:t>C.S.S.B. 17</w:t>
            </w:r>
            <w:r w:rsidR="002E2828">
              <w:t>,</w:t>
            </w:r>
            <w:r>
              <w:t xml:space="preserve"> except </w:t>
            </w:r>
            <w:r w:rsidR="00764C59">
              <w:t>as otherwise provided</w:t>
            </w:r>
            <w:r>
              <w:t xml:space="preserve">, </w:t>
            </w:r>
            <w:r w:rsidR="002E2828">
              <w:t xml:space="preserve">applies </w:t>
            </w:r>
            <w:r>
              <w:t xml:space="preserve">beginning with the 2023-2024 academic year. </w:t>
            </w:r>
          </w:p>
          <w:p w14:paraId="66AC4F4D" w14:textId="77777777" w:rsidR="008423E4" w:rsidRPr="00835628" w:rsidRDefault="008423E4" w:rsidP="00153669">
            <w:pPr>
              <w:rPr>
                <w:b/>
              </w:rPr>
            </w:pPr>
          </w:p>
        </w:tc>
      </w:tr>
      <w:tr w:rsidR="00EB12D3" w14:paraId="0956608D" w14:textId="77777777" w:rsidTr="00967BF8">
        <w:tc>
          <w:tcPr>
            <w:tcW w:w="9360" w:type="dxa"/>
          </w:tcPr>
          <w:p w14:paraId="56935884" w14:textId="77777777" w:rsidR="008423E4" w:rsidRPr="00A8133F" w:rsidRDefault="00171E14" w:rsidP="00153669">
            <w:pPr>
              <w:rPr>
                <w:b/>
              </w:rPr>
            </w:pPr>
            <w:r w:rsidRPr="009C1E9A">
              <w:rPr>
                <w:b/>
                <w:u w:val="single"/>
              </w:rPr>
              <w:t>EFFECTIVE DATE</w:t>
            </w:r>
            <w:r>
              <w:rPr>
                <w:b/>
              </w:rPr>
              <w:t xml:space="preserve"> </w:t>
            </w:r>
          </w:p>
          <w:p w14:paraId="6DB7B5F6" w14:textId="77777777" w:rsidR="008423E4" w:rsidRDefault="008423E4" w:rsidP="00153669"/>
          <w:p w14:paraId="3BCCA1CB" w14:textId="073BDB71" w:rsidR="008423E4" w:rsidRPr="003624F2" w:rsidRDefault="00171E14" w:rsidP="00153669">
            <w:pPr>
              <w:pStyle w:val="Header"/>
              <w:tabs>
                <w:tab w:val="clear" w:pos="4320"/>
                <w:tab w:val="clear" w:pos="8640"/>
              </w:tabs>
              <w:jc w:val="both"/>
            </w:pPr>
            <w:r>
              <w:t>On passage, or, if the bill does not receive the necessary vote, September 1, 2023.</w:t>
            </w:r>
          </w:p>
          <w:p w14:paraId="3467B34D" w14:textId="77777777" w:rsidR="008423E4" w:rsidRPr="00233FDB" w:rsidRDefault="008423E4" w:rsidP="00153669">
            <w:pPr>
              <w:rPr>
                <w:b/>
              </w:rPr>
            </w:pPr>
          </w:p>
        </w:tc>
      </w:tr>
      <w:tr w:rsidR="00EB12D3" w14:paraId="10BA4B97" w14:textId="77777777" w:rsidTr="00967BF8">
        <w:tc>
          <w:tcPr>
            <w:tcW w:w="9360" w:type="dxa"/>
          </w:tcPr>
          <w:p w14:paraId="18F885FB" w14:textId="77777777" w:rsidR="00B154E7" w:rsidRDefault="00171E14" w:rsidP="00153669">
            <w:pPr>
              <w:jc w:val="both"/>
              <w:rPr>
                <w:b/>
                <w:u w:val="single"/>
              </w:rPr>
            </w:pPr>
            <w:r>
              <w:rPr>
                <w:b/>
                <w:u w:val="single"/>
              </w:rPr>
              <w:t>COMPARISON OF SENATE ENGROSSED AND SUBSTITUTE</w:t>
            </w:r>
          </w:p>
          <w:p w14:paraId="07D3F699" w14:textId="77777777" w:rsidR="00113662" w:rsidRDefault="00113662" w:rsidP="00153669">
            <w:pPr>
              <w:jc w:val="both"/>
              <w:rPr>
                <w:b/>
                <w:u w:val="single"/>
              </w:rPr>
            </w:pPr>
          </w:p>
          <w:p w14:paraId="69A807B6" w14:textId="77777777" w:rsidR="00DB4F86" w:rsidRDefault="00171E14" w:rsidP="00153669">
            <w:pPr>
              <w:jc w:val="both"/>
            </w:pPr>
            <w:r>
              <w:t xml:space="preserve">While C.S.S.B. 17 may differ from the engrossed in </w:t>
            </w:r>
            <w:r>
              <w:t>minor or nonsubstantive ways, the following summarizes the substantial differences between the engrossed and committee substitute versions of the bill.</w:t>
            </w:r>
          </w:p>
          <w:p w14:paraId="6E3CB52E" w14:textId="77777777" w:rsidR="00DB4F86" w:rsidRDefault="00DB4F86" w:rsidP="00153669">
            <w:pPr>
              <w:jc w:val="both"/>
            </w:pPr>
          </w:p>
          <w:p w14:paraId="29FFA8FD" w14:textId="77777777" w:rsidR="00DB4F86" w:rsidRDefault="00171E14" w:rsidP="00153669">
            <w:pPr>
              <w:jc w:val="both"/>
            </w:pPr>
            <w:r>
              <w:t>While both the substitute and the engrossed provide for the definition and purposes of a DEI office, th</w:t>
            </w:r>
            <w:r>
              <w:t>ey differ with respect to the elements included among such purposes as follows:</w:t>
            </w:r>
          </w:p>
          <w:p w14:paraId="5002AE60" w14:textId="77777777" w:rsidR="00DB4F86" w:rsidRDefault="00171E14" w:rsidP="00153669">
            <w:pPr>
              <w:pStyle w:val="ListParagraph"/>
              <w:numPr>
                <w:ilvl w:val="0"/>
                <w:numId w:val="5"/>
              </w:numPr>
              <w:contextualSpacing w:val="0"/>
              <w:jc w:val="both"/>
            </w:pPr>
            <w:r>
              <w:t xml:space="preserve">whereas the engrossed included influencing hiring or employment practices </w:t>
            </w:r>
            <w:r w:rsidRPr="00AC7DDD">
              <w:t>with respect to race, sex, color, or ethnicity, other than through the use of color-blind and sex-neut</w:t>
            </w:r>
            <w:r w:rsidRPr="00AC7DDD">
              <w:t>ral hiring processes</w:t>
            </w:r>
            <w:r>
              <w:t xml:space="preserve">, the substitute includes </w:t>
            </w:r>
            <w:r w:rsidRPr="00AC7DDD">
              <w:t xml:space="preserve">engaging in hiring or employment practices that give preferential treatment on the basis of </w:t>
            </w:r>
            <w:r>
              <w:t>such categories</w:t>
            </w:r>
            <w:r w:rsidRPr="00AC7DDD">
              <w:t>, other than through the use of nondiscriminatory hiring processes</w:t>
            </w:r>
            <w:r>
              <w:t>;</w:t>
            </w:r>
          </w:p>
          <w:p w14:paraId="11E8891F" w14:textId="77777777" w:rsidR="00DB4F86" w:rsidRDefault="00171E14" w:rsidP="00153669">
            <w:pPr>
              <w:pStyle w:val="ListParagraph"/>
              <w:numPr>
                <w:ilvl w:val="0"/>
                <w:numId w:val="5"/>
              </w:numPr>
              <w:contextualSpacing w:val="0"/>
              <w:jc w:val="both"/>
            </w:pPr>
            <w:r>
              <w:t>whereas the engrossed included prom</w:t>
            </w:r>
            <w:r>
              <w:t xml:space="preserve">oting </w:t>
            </w:r>
            <w:r w:rsidRPr="00AC7DDD">
              <w:t xml:space="preserve">differential treatment </w:t>
            </w:r>
            <w:r>
              <w:t>of or providing special benefits to individuals on the basis of race, color, or ethnicity, the substitute includes providing differential treatment on the basis of race, sex, color, or ethnicity and does not include the provisi</w:t>
            </w:r>
            <w:r>
              <w:t>on of special benefits as the engrossed did;</w:t>
            </w:r>
          </w:p>
          <w:p w14:paraId="20E1217C" w14:textId="4F690CD4" w:rsidR="00DB4F86" w:rsidRDefault="00171E14" w:rsidP="00153669">
            <w:pPr>
              <w:pStyle w:val="ListParagraph"/>
              <w:numPr>
                <w:ilvl w:val="0"/>
                <w:numId w:val="5"/>
              </w:numPr>
              <w:contextualSpacing w:val="0"/>
              <w:jc w:val="both"/>
            </w:pPr>
            <w:r>
              <w:t xml:space="preserve">whereas the engrossed included promoting policies or procedures </w:t>
            </w:r>
            <w:r w:rsidRPr="00AC7DDD">
              <w:t>designed or implemented in reference to race, color, or ethnicity</w:t>
            </w:r>
            <w:r>
              <w:t>, the substitute includes implementing policies or</w:t>
            </w:r>
            <w:r w:rsidRPr="00AC7DDD">
              <w:t xml:space="preserve"> procedures that give preferenti</w:t>
            </w:r>
            <w:r w:rsidRPr="00AC7DDD">
              <w:t>al treatment on the basis of race, sex, color, or ethnicity</w:t>
            </w:r>
            <w:r>
              <w:t xml:space="preserve">; </w:t>
            </w:r>
            <w:r w:rsidR="00153669">
              <w:t>and</w:t>
            </w:r>
          </w:p>
          <w:p w14:paraId="77CE66DD" w14:textId="77777777" w:rsidR="00DB4F86" w:rsidRDefault="00171E14" w:rsidP="00153669">
            <w:pPr>
              <w:pStyle w:val="ListParagraph"/>
              <w:numPr>
                <w:ilvl w:val="0"/>
                <w:numId w:val="5"/>
              </w:numPr>
              <w:contextualSpacing w:val="0"/>
              <w:jc w:val="both"/>
            </w:pPr>
            <w:r>
              <w:t xml:space="preserve">whereas the engrossed included </w:t>
            </w:r>
            <w:r w:rsidRPr="00247D7C">
              <w:t>conducting trainings, programs, or activities designed or implemented in reference to race, color, ethnicity, gender identity, or sexual orientation</w:t>
            </w:r>
            <w:r>
              <w:t xml:space="preserve">, the substitute includes </w:t>
            </w:r>
            <w:r w:rsidRPr="00247D7C">
              <w:t xml:space="preserve">conducting trainings, programs, or activities that advocate for or give preferential treatment on the basis of </w:t>
            </w:r>
            <w:r>
              <w:t>those categories.</w:t>
            </w:r>
          </w:p>
          <w:p w14:paraId="444D1DCD" w14:textId="77777777" w:rsidR="00DB4F86" w:rsidRDefault="00DB4F86" w:rsidP="00153669">
            <w:pPr>
              <w:jc w:val="both"/>
            </w:pPr>
          </w:p>
          <w:p w14:paraId="5D7D2281" w14:textId="6FB8BE84" w:rsidR="00DB4F86" w:rsidRDefault="00171E14" w:rsidP="00153669">
            <w:pPr>
              <w:jc w:val="both"/>
            </w:pPr>
            <w:r>
              <w:t>Whereas the engrossed provided for an exception to the prohibitions regarding a DEI office or progra</w:t>
            </w:r>
            <w:r>
              <w:t>m for policies, procedures, trainings, programs, or activities approved in writing by the institution's general counsel and office of the attorney general for the sole purpose of ensuring compliance with an applicable court order or law, the substitute pro</w:t>
            </w:r>
            <w:r>
              <w:t>vides for such an exception for policies, procedures, trainings, programs, or activities approved in writing only by the institution's general counsel for the purpose of ensuring compliance with an applicable court order or law in accordance with instituti</w:t>
            </w:r>
            <w:r>
              <w:t xml:space="preserve">onal policy. </w:t>
            </w:r>
          </w:p>
          <w:p w14:paraId="1D71D08E" w14:textId="2936F201" w:rsidR="00C64876" w:rsidRDefault="00C64876" w:rsidP="00153669">
            <w:pPr>
              <w:jc w:val="both"/>
            </w:pPr>
          </w:p>
          <w:p w14:paraId="3BEECC62" w14:textId="2BA2BEE4" w:rsidR="00C64876" w:rsidRDefault="00171E14" w:rsidP="00153669">
            <w:pPr>
              <w:jc w:val="both"/>
            </w:pPr>
            <w:r>
              <w:t xml:space="preserve">Whereas the engrossed prohibited the </w:t>
            </w:r>
            <w:r w:rsidRPr="00EC5000">
              <w:t>bill's provisions regarding the regulation of DEI offices and programs from being construed to apply to</w:t>
            </w:r>
            <w:r>
              <w:t xml:space="preserve"> </w:t>
            </w:r>
            <w:r w:rsidRPr="00EC5000">
              <w:t>a policy, practice, procedure, program, or activity to enhance student academic achievement or postg</w:t>
            </w:r>
            <w:r w:rsidRPr="00EC5000">
              <w:t>raduate outcomes that is designed and implemented without regard to race, color, ethnicity</w:t>
            </w:r>
            <w:r w:rsidR="00967BF8">
              <w:t>,</w:t>
            </w:r>
            <w:r w:rsidRPr="00EC5000">
              <w:t xml:space="preserve"> or sex</w:t>
            </w:r>
            <w:r>
              <w:t xml:space="preserve">, the substitute instead prohibits the those provisions </w:t>
            </w:r>
            <w:r w:rsidRPr="00EC5000">
              <w:t>from being construed to apply to</w:t>
            </w:r>
            <w:r>
              <w:t xml:space="preserve"> </w:t>
            </w:r>
            <w:r w:rsidRPr="00EC5000">
              <w:t>a program or activity to enhance student academic achievement or post</w:t>
            </w:r>
            <w:r w:rsidRPr="00EC5000">
              <w:t>graduate outcomes that allows participation without regard to race, sex, color, or ethnicity</w:t>
            </w:r>
            <w:r>
              <w:t>.</w:t>
            </w:r>
          </w:p>
          <w:p w14:paraId="24A19152" w14:textId="77777777" w:rsidR="00DB4F86" w:rsidRDefault="00DB4F86" w:rsidP="00153669">
            <w:pPr>
              <w:jc w:val="both"/>
            </w:pPr>
          </w:p>
          <w:p w14:paraId="6550C430" w14:textId="0C1E0F8A" w:rsidR="00DB4F86" w:rsidRDefault="00171E14" w:rsidP="00153669">
            <w:pPr>
              <w:jc w:val="both"/>
            </w:pPr>
            <w:r>
              <w:t>The substitute includes the following provisions that are not in the engrossed</w:t>
            </w:r>
            <w:r w:rsidR="00153669">
              <w:t>:</w:t>
            </w:r>
            <w:r>
              <w:t xml:space="preserve"> </w:t>
            </w:r>
          </w:p>
          <w:p w14:paraId="668357A0" w14:textId="77777777" w:rsidR="00DB4F86" w:rsidRDefault="00171E14" w:rsidP="00153669">
            <w:pPr>
              <w:pStyle w:val="ListParagraph"/>
              <w:numPr>
                <w:ilvl w:val="0"/>
                <w:numId w:val="8"/>
              </w:numPr>
              <w:contextualSpacing w:val="0"/>
              <w:jc w:val="both"/>
            </w:pPr>
            <w:r>
              <w:t>a provision that authorizes an institution's governing board to approve the impl</w:t>
            </w:r>
            <w:r>
              <w:t>ementation of a program otherwise prohibited by the bill under certain conditions; and</w:t>
            </w:r>
          </w:p>
          <w:p w14:paraId="57C58E6F" w14:textId="77777777" w:rsidR="00DB4F86" w:rsidRDefault="00171E14" w:rsidP="00153669">
            <w:pPr>
              <w:pStyle w:val="ListParagraph"/>
              <w:numPr>
                <w:ilvl w:val="0"/>
                <w:numId w:val="8"/>
              </w:numPr>
              <w:contextualSpacing w:val="0"/>
              <w:jc w:val="both"/>
            </w:pPr>
            <w:r>
              <w:t>a provisions establishing that, as a higher education purpose, a public institution of higher education must be committed to creating an environment of:</w:t>
            </w:r>
          </w:p>
          <w:p w14:paraId="50F61516" w14:textId="77777777" w:rsidR="00DB4F86" w:rsidRDefault="00171E14" w:rsidP="00153669">
            <w:pPr>
              <w:pStyle w:val="ListParagraph"/>
              <w:numPr>
                <w:ilvl w:val="1"/>
                <w:numId w:val="8"/>
              </w:numPr>
              <w:contextualSpacing w:val="0"/>
              <w:jc w:val="both"/>
            </w:pPr>
            <w:r>
              <w:t>intellectual inq</w:t>
            </w:r>
            <w:r>
              <w:t>uiry and academic freedom so that all students are equipped for participation in the workforce and the betterment of society; and</w:t>
            </w:r>
          </w:p>
          <w:p w14:paraId="0B93C1E4" w14:textId="77777777" w:rsidR="00DB4F86" w:rsidRDefault="00171E14" w:rsidP="00153669">
            <w:pPr>
              <w:pStyle w:val="ListParagraph"/>
              <w:numPr>
                <w:ilvl w:val="1"/>
                <w:numId w:val="8"/>
              </w:numPr>
              <w:contextualSpacing w:val="0"/>
              <w:jc w:val="both"/>
            </w:pPr>
            <w:r>
              <w:t>intellectual diversity so that all students are respected and educated regardless of race, sex, or ethnicity or social, politi</w:t>
            </w:r>
            <w:r>
              <w:t xml:space="preserve">cal, or religious background or belief.   </w:t>
            </w:r>
          </w:p>
          <w:p w14:paraId="3E81F396" w14:textId="77777777" w:rsidR="00DB4F86" w:rsidRDefault="00DB4F86" w:rsidP="00153669">
            <w:pPr>
              <w:jc w:val="both"/>
            </w:pPr>
          </w:p>
          <w:p w14:paraId="1A6A9E55" w14:textId="6DB67F06" w:rsidR="00DB4F86" w:rsidRDefault="00171E14" w:rsidP="00153669">
            <w:pPr>
              <w:jc w:val="both"/>
            </w:pPr>
            <w:r>
              <w:t xml:space="preserve">The substitute does not include the following provisions that were present in the engrossed: </w:t>
            </w:r>
          </w:p>
          <w:p w14:paraId="0748D862" w14:textId="77777777" w:rsidR="00DB4F86" w:rsidRDefault="00171E14" w:rsidP="00153669">
            <w:pPr>
              <w:pStyle w:val="ListParagraph"/>
              <w:numPr>
                <w:ilvl w:val="0"/>
                <w:numId w:val="6"/>
              </w:numPr>
              <w:contextualSpacing w:val="0"/>
              <w:jc w:val="both"/>
            </w:pPr>
            <w:r>
              <w:t xml:space="preserve">a provision that </w:t>
            </w:r>
            <w:r w:rsidRPr="00064144">
              <w:t>includ</w:t>
            </w:r>
            <w:r>
              <w:t>es among</w:t>
            </w:r>
            <w:r w:rsidRPr="00064144">
              <w:t xml:space="preserve"> the requirements of </w:t>
            </w:r>
            <w:r>
              <w:t>the</w:t>
            </w:r>
            <w:r w:rsidRPr="00064144">
              <w:t xml:space="preserve"> governing board</w:t>
            </w:r>
            <w:r>
              <w:t xml:space="preserve"> of each institution of higher education</w:t>
            </w:r>
            <w:r w:rsidRPr="00064144">
              <w:t xml:space="preserve"> the requirement to ensure that a majority of the members of a search committee for the position of president or other chief executive officer of an institution under the board's control and management are members of</w:t>
            </w:r>
            <w:r w:rsidRPr="00064144">
              <w:t xml:space="preserve"> the board</w:t>
            </w:r>
            <w:r>
              <w:t>;</w:t>
            </w:r>
          </w:p>
          <w:p w14:paraId="10A1CF3E" w14:textId="77777777" w:rsidR="00DB4F86" w:rsidRDefault="00171E14" w:rsidP="00153669">
            <w:pPr>
              <w:pStyle w:val="ListParagraph"/>
              <w:numPr>
                <w:ilvl w:val="0"/>
                <w:numId w:val="6"/>
              </w:numPr>
              <w:contextualSpacing w:val="0"/>
              <w:jc w:val="both"/>
            </w:pPr>
            <w:r>
              <w:t xml:space="preserve">a prohibition against an </w:t>
            </w:r>
            <w:r w:rsidRPr="00064144">
              <w:t>accrediting agency tak</w:t>
            </w:r>
            <w:r>
              <w:t>ing</w:t>
            </w:r>
            <w:r w:rsidRPr="00064144">
              <w:t xml:space="preserve"> or threaten</w:t>
            </w:r>
            <w:r>
              <w:t>ing</w:t>
            </w:r>
            <w:r w:rsidRPr="00064144">
              <w:t xml:space="preserve"> to take adverse action against an institution of higher education based on the institution's compliance with </w:t>
            </w:r>
            <w:r>
              <w:t xml:space="preserve">the bill and a corresponding authorization, if an accrediting agency </w:t>
            </w:r>
            <w:r>
              <w:t>takes or threatens to take such action, for</w:t>
            </w:r>
            <w:r w:rsidRPr="00791E13">
              <w:t xml:space="preserve"> the attorney general, the institution, or an employee of the institution </w:t>
            </w:r>
            <w:r>
              <w:t>to</w:t>
            </w:r>
            <w:r w:rsidRPr="00791E13">
              <w:t xml:space="preserve"> bring an action for declaratory or injunctive relief against </w:t>
            </w:r>
            <w:r>
              <w:t>the</w:t>
            </w:r>
            <w:r w:rsidRPr="00791E13">
              <w:t xml:space="preserve"> agency</w:t>
            </w:r>
            <w:r>
              <w:t>;</w:t>
            </w:r>
          </w:p>
          <w:p w14:paraId="2A98345F" w14:textId="77777777" w:rsidR="00DB4F86" w:rsidRDefault="00171E14" w:rsidP="00153669">
            <w:pPr>
              <w:pStyle w:val="ListParagraph"/>
              <w:numPr>
                <w:ilvl w:val="0"/>
                <w:numId w:val="6"/>
              </w:numPr>
              <w:contextualSpacing w:val="0"/>
              <w:jc w:val="both"/>
            </w:pPr>
            <w:r>
              <w:t xml:space="preserve">provisions requiring the state auditor to </w:t>
            </w:r>
            <w:r w:rsidRPr="00791E13">
              <w:t xml:space="preserve">periodically conduct </w:t>
            </w:r>
            <w:r w:rsidRPr="00791E13">
              <w:t>a compliance audit of each institution of higher education to determine whether the institution has spent state money in violation of</w:t>
            </w:r>
            <w:r>
              <w:t xml:space="preserve"> the</w:t>
            </w:r>
            <w:r w:rsidRPr="00791E13">
              <w:t xml:space="preserve"> </w:t>
            </w:r>
            <w:r>
              <w:t>bill and setting out the procedures of the audit;</w:t>
            </w:r>
          </w:p>
          <w:p w14:paraId="2C1DF8DB" w14:textId="77777777" w:rsidR="00DB4F86" w:rsidRDefault="00171E14" w:rsidP="00153669">
            <w:pPr>
              <w:pStyle w:val="ListParagraph"/>
              <w:numPr>
                <w:ilvl w:val="0"/>
                <w:numId w:val="6"/>
              </w:numPr>
              <w:contextualSpacing w:val="0"/>
              <w:jc w:val="both"/>
            </w:pPr>
            <w:r>
              <w:t>a provision establishing that an institution is ineligible to receiv</w:t>
            </w:r>
            <w:r>
              <w:t>e state funds, other than those appropriated to pay debt service on bonds or notes previous authorized, for the state fiscal year immediately following the state fiscal year in which a determination is made, pursuant to a compliance audit, that the institu</w:t>
            </w:r>
            <w:r>
              <w:t xml:space="preserve">tion has spent state money in violation of the bill's provisions; </w:t>
            </w:r>
          </w:p>
          <w:p w14:paraId="240E2FF8" w14:textId="77777777" w:rsidR="00DB4F86" w:rsidRPr="00DB4F86" w:rsidRDefault="00171E14" w:rsidP="00153669">
            <w:pPr>
              <w:pStyle w:val="ListParagraph"/>
              <w:numPr>
                <w:ilvl w:val="0"/>
                <w:numId w:val="6"/>
              </w:numPr>
              <w:contextualSpacing w:val="0"/>
              <w:jc w:val="both"/>
              <w:rPr>
                <w:b/>
                <w:u w:val="single"/>
              </w:rPr>
            </w:pPr>
            <w:r>
              <w:t xml:space="preserve">an authorization for a </w:t>
            </w:r>
            <w:r w:rsidRPr="00CE719E">
              <w:t xml:space="preserve">student </w:t>
            </w:r>
            <w:r w:rsidRPr="00CE719E">
              <w:t xml:space="preserve">or employee of an institution of higher education who is required to participate in </w:t>
            </w:r>
            <w:r>
              <w:t xml:space="preserve">DEI </w:t>
            </w:r>
            <w:r w:rsidRPr="00CE719E">
              <w:t>training in violatio</w:t>
            </w:r>
            <w:r>
              <w:t>n of the bill's provisions</w:t>
            </w:r>
            <w:r w:rsidRPr="00CE719E">
              <w:t xml:space="preserve"> </w:t>
            </w:r>
            <w:r>
              <w:t>to</w:t>
            </w:r>
            <w:r w:rsidRPr="00CE719E">
              <w:t xml:space="preserve"> bring an action against the institution for injunctive or declaratory relief</w:t>
            </w:r>
            <w:r>
              <w:t>; and</w:t>
            </w:r>
          </w:p>
          <w:p w14:paraId="3DFA8AA8" w14:textId="77777777" w:rsidR="00DB4F86" w:rsidRPr="00DB4F86" w:rsidRDefault="00171E14" w:rsidP="00153669">
            <w:pPr>
              <w:pStyle w:val="ListParagraph"/>
              <w:numPr>
                <w:ilvl w:val="0"/>
                <w:numId w:val="6"/>
              </w:numPr>
              <w:contextualSpacing w:val="0"/>
              <w:jc w:val="both"/>
              <w:rPr>
                <w:b/>
                <w:u w:val="single"/>
              </w:rPr>
            </w:pPr>
            <w:r>
              <w:t>a provision establishing the severab</w:t>
            </w:r>
            <w:r>
              <w:t>ility of the bill's provisions.</w:t>
            </w:r>
          </w:p>
          <w:p w14:paraId="3D12AE6C" w14:textId="4F52FE81" w:rsidR="00DB4F86" w:rsidRPr="00DB4F86" w:rsidRDefault="00DB4F86" w:rsidP="00153669">
            <w:pPr>
              <w:jc w:val="both"/>
              <w:rPr>
                <w:b/>
                <w:u w:val="single"/>
              </w:rPr>
            </w:pPr>
          </w:p>
        </w:tc>
      </w:tr>
    </w:tbl>
    <w:p w14:paraId="51C2B0F4" w14:textId="77777777" w:rsidR="008423E4" w:rsidRPr="00BE0E75" w:rsidRDefault="008423E4" w:rsidP="00153669">
      <w:pPr>
        <w:jc w:val="both"/>
        <w:rPr>
          <w:rFonts w:ascii="Arial" w:hAnsi="Arial"/>
          <w:sz w:val="16"/>
          <w:szCs w:val="16"/>
        </w:rPr>
      </w:pPr>
    </w:p>
    <w:p w14:paraId="350B4F2B" w14:textId="77777777" w:rsidR="004108C3" w:rsidRPr="008423E4" w:rsidRDefault="004108C3" w:rsidP="0015366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26F0" w14:textId="77777777" w:rsidR="00000000" w:rsidRDefault="00171E14">
      <w:r>
        <w:separator/>
      </w:r>
    </w:p>
  </w:endnote>
  <w:endnote w:type="continuationSeparator" w:id="0">
    <w:p w14:paraId="53406E50" w14:textId="77777777" w:rsidR="00000000" w:rsidRDefault="0017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88AB"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EB12D3" w14:paraId="725B035C" w14:textId="77777777" w:rsidTr="009C1E9A">
      <w:trPr>
        <w:cantSplit/>
      </w:trPr>
      <w:tc>
        <w:tcPr>
          <w:tcW w:w="0" w:type="pct"/>
        </w:tcPr>
        <w:p w14:paraId="06EC392D" w14:textId="77777777" w:rsidR="00137D90" w:rsidRDefault="00137D90" w:rsidP="009C1E9A">
          <w:pPr>
            <w:pStyle w:val="Footer"/>
            <w:tabs>
              <w:tab w:val="clear" w:pos="8640"/>
              <w:tab w:val="right" w:pos="9360"/>
            </w:tabs>
          </w:pPr>
        </w:p>
      </w:tc>
      <w:tc>
        <w:tcPr>
          <w:tcW w:w="2395" w:type="pct"/>
        </w:tcPr>
        <w:p w14:paraId="2F5A392F" w14:textId="77777777" w:rsidR="00137D90" w:rsidRDefault="00137D90" w:rsidP="009C1E9A">
          <w:pPr>
            <w:pStyle w:val="Footer"/>
            <w:tabs>
              <w:tab w:val="clear" w:pos="8640"/>
              <w:tab w:val="right" w:pos="9360"/>
            </w:tabs>
          </w:pPr>
        </w:p>
        <w:p w14:paraId="33507EA4" w14:textId="77777777" w:rsidR="001A4310" w:rsidRDefault="001A4310" w:rsidP="009C1E9A">
          <w:pPr>
            <w:pStyle w:val="Footer"/>
            <w:tabs>
              <w:tab w:val="clear" w:pos="8640"/>
              <w:tab w:val="right" w:pos="9360"/>
            </w:tabs>
          </w:pPr>
        </w:p>
        <w:p w14:paraId="321726C1" w14:textId="77777777" w:rsidR="00137D90" w:rsidRDefault="00137D90" w:rsidP="009C1E9A">
          <w:pPr>
            <w:pStyle w:val="Footer"/>
            <w:tabs>
              <w:tab w:val="clear" w:pos="8640"/>
              <w:tab w:val="right" w:pos="9360"/>
            </w:tabs>
          </w:pPr>
        </w:p>
      </w:tc>
      <w:tc>
        <w:tcPr>
          <w:tcW w:w="2453" w:type="pct"/>
        </w:tcPr>
        <w:p w14:paraId="3D369766" w14:textId="77777777" w:rsidR="00137D90" w:rsidRDefault="00137D90" w:rsidP="009C1E9A">
          <w:pPr>
            <w:pStyle w:val="Footer"/>
            <w:tabs>
              <w:tab w:val="clear" w:pos="8640"/>
              <w:tab w:val="right" w:pos="9360"/>
            </w:tabs>
            <w:jc w:val="right"/>
          </w:pPr>
        </w:p>
      </w:tc>
    </w:tr>
    <w:tr w:rsidR="00EB12D3" w14:paraId="12088D7C" w14:textId="77777777" w:rsidTr="009C1E9A">
      <w:trPr>
        <w:cantSplit/>
      </w:trPr>
      <w:tc>
        <w:tcPr>
          <w:tcW w:w="0" w:type="pct"/>
        </w:tcPr>
        <w:p w14:paraId="289CE26D" w14:textId="77777777" w:rsidR="00EC379B" w:rsidRDefault="00EC379B" w:rsidP="009C1E9A">
          <w:pPr>
            <w:pStyle w:val="Footer"/>
            <w:tabs>
              <w:tab w:val="clear" w:pos="8640"/>
              <w:tab w:val="right" w:pos="9360"/>
            </w:tabs>
          </w:pPr>
        </w:p>
      </w:tc>
      <w:tc>
        <w:tcPr>
          <w:tcW w:w="2395" w:type="pct"/>
        </w:tcPr>
        <w:p w14:paraId="25A728C5" w14:textId="107FC9F4" w:rsidR="00EC379B" w:rsidRPr="009C1E9A" w:rsidRDefault="00171E14" w:rsidP="009C1E9A">
          <w:pPr>
            <w:pStyle w:val="Footer"/>
            <w:tabs>
              <w:tab w:val="clear" w:pos="8640"/>
              <w:tab w:val="right" w:pos="9360"/>
            </w:tabs>
            <w:rPr>
              <w:rFonts w:ascii="Shruti" w:hAnsi="Shruti"/>
              <w:sz w:val="22"/>
            </w:rPr>
          </w:pPr>
          <w:r>
            <w:rPr>
              <w:rFonts w:ascii="Shruti" w:hAnsi="Shruti"/>
              <w:sz w:val="22"/>
            </w:rPr>
            <w:t>88R 30432-D</w:t>
          </w:r>
        </w:p>
      </w:tc>
      <w:tc>
        <w:tcPr>
          <w:tcW w:w="2453" w:type="pct"/>
        </w:tcPr>
        <w:p w14:paraId="18D3D7C0" w14:textId="2F6CDF93" w:rsidR="00EC379B" w:rsidRDefault="00171E14" w:rsidP="009C1E9A">
          <w:pPr>
            <w:pStyle w:val="Footer"/>
            <w:tabs>
              <w:tab w:val="clear" w:pos="8640"/>
              <w:tab w:val="right" w:pos="9360"/>
            </w:tabs>
            <w:jc w:val="right"/>
          </w:pPr>
          <w:r>
            <w:fldChar w:fldCharType="begin"/>
          </w:r>
          <w:r>
            <w:instrText xml:space="preserve"> DOCPROPERTY  OTID  \* MERGEFORMAT </w:instrText>
          </w:r>
          <w:r>
            <w:fldChar w:fldCharType="separate"/>
          </w:r>
          <w:r w:rsidR="00254BEF">
            <w:t>23.135.61</w:t>
          </w:r>
          <w:r>
            <w:fldChar w:fldCharType="end"/>
          </w:r>
        </w:p>
      </w:tc>
    </w:tr>
    <w:tr w:rsidR="00EB12D3" w14:paraId="4FE6AB03" w14:textId="77777777" w:rsidTr="009C1E9A">
      <w:trPr>
        <w:cantSplit/>
      </w:trPr>
      <w:tc>
        <w:tcPr>
          <w:tcW w:w="0" w:type="pct"/>
        </w:tcPr>
        <w:p w14:paraId="6D289261" w14:textId="77777777" w:rsidR="00EC379B" w:rsidRDefault="00EC379B" w:rsidP="009C1E9A">
          <w:pPr>
            <w:pStyle w:val="Footer"/>
            <w:tabs>
              <w:tab w:val="clear" w:pos="4320"/>
              <w:tab w:val="clear" w:pos="8640"/>
              <w:tab w:val="left" w:pos="2865"/>
            </w:tabs>
          </w:pPr>
        </w:p>
      </w:tc>
      <w:tc>
        <w:tcPr>
          <w:tcW w:w="2395" w:type="pct"/>
        </w:tcPr>
        <w:p w14:paraId="48848641" w14:textId="08FB742C" w:rsidR="00EC379B" w:rsidRPr="009C1E9A" w:rsidRDefault="00171E14" w:rsidP="009C1E9A">
          <w:pPr>
            <w:pStyle w:val="Footer"/>
            <w:tabs>
              <w:tab w:val="clear" w:pos="4320"/>
              <w:tab w:val="clear" w:pos="8640"/>
              <w:tab w:val="left" w:pos="2865"/>
            </w:tabs>
            <w:rPr>
              <w:rFonts w:ascii="Shruti" w:hAnsi="Shruti"/>
              <w:sz w:val="22"/>
            </w:rPr>
          </w:pPr>
          <w:r>
            <w:rPr>
              <w:rFonts w:ascii="Shruti" w:hAnsi="Shruti"/>
              <w:sz w:val="22"/>
            </w:rPr>
            <w:t>Substitute Document Number: 88R 29956</w:t>
          </w:r>
        </w:p>
      </w:tc>
      <w:tc>
        <w:tcPr>
          <w:tcW w:w="2453" w:type="pct"/>
        </w:tcPr>
        <w:p w14:paraId="1F1F3E90" w14:textId="77777777" w:rsidR="00EC379B" w:rsidRDefault="00EC379B" w:rsidP="006D504F">
          <w:pPr>
            <w:pStyle w:val="Footer"/>
            <w:rPr>
              <w:rStyle w:val="PageNumber"/>
            </w:rPr>
          </w:pPr>
        </w:p>
        <w:p w14:paraId="0CAFD0B7" w14:textId="77777777" w:rsidR="00EC379B" w:rsidRDefault="00EC379B" w:rsidP="009C1E9A">
          <w:pPr>
            <w:pStyle w:val="Footer"/>
            <w:tabs>
              <w:tab w:val="clear" w:pos="8640"/>
              <w:tab w:val="right" w:pos="9360"/>
            </w:tabs>
            <w:jc w:val="right"/>
          </w:pPr>
        </w:p>
      </w:tc>
    </w:tr>
    <w:tr w:rsidR="00EB12D3" w14:paraId="48686601" w14:textId="77777777" w:rsidTr="009C1E9A">
      <w:trPr>
        <w:cantSplit/>
        <w:trHeight w:val="323"/>
      </w:trPr>
      <w:tc>
        <w:tcPr>
          <w:tcW w:w="0" w:type="pct"/>
          <w:gridSpan w:val="3"/>
        </w:tcPr>
        <w:p w14:paraId="5F3B6436" w14:textId="77777777" w:rsidR="00EC379B" w:rsidRDefault="00171E1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4804875" w14:textId="77777777" w:rsidR="00EC379B" w:rsidRDefault="00EC379B" w:rsidP="009C1E9A">
          <w:pPr>
            <w:pStyle w:val="Footer"/>
            <w:tabs>
              <w:tab w:val="clear" w:pos="8640"/>
              <w:tab w:val="right" w:pos="9360"/>
            </w:tabs>
            <w:jc w:val="center"/>
          </w:pPr>
        </w:p>
      </w:tc>
    </w:tr>
  </w:tbl>
  <w:p w14:paraId="681E025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E6D9"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CD61" w14:textId="77777777" w:rsidR="00000000" w:rsidRDefault="00171E14">
      <w:r>
        <w:separator/>
      </w:r>
    </w:p>
  </w:footnote>
  <w:footnote w:type="continuationSeparator" w:id="0">
    <w:p w14:paraId="68771C92" w14:textId="77777777" w:rsidR="00000000" w:rsidRDefault="0017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8F86"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F359"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BCFA"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2A2"/>
    <w:multiLevelType w:val="hybridMultilevel"/>
    <w:tmpl w:val="03148EAE"/>
    <w:lvl w:ilvl="0" w:tplc="232477E0">
      <w:start w:val="1"/>
      <w:numFmt w:val="bullet"/>
      <w:lvlText w:val=""/>
      <w:lvlJc w:val="left"/>
      <w:pPr>
        <w:tabs>
          <w:tab w:val="num" w:pos="720"/>
        </w:tabs>
        <w:ind w:left="720" w:hanging="360"/>
      </w:pPr>
      <w:rPr>
        <w:rFonts w:ascii="Symbol" w:hAnsi="Symbol" w:hint="default"/>
      </w:rPr>
    </w:lvl>
    <w:lvl w:ilvl="1" w:tplc="534AD34C">
      <w:start w:val="1"/>
      <w:numFmt w:val="bullet"/>
      <w:lvlText w:val="o"/>
      <w:lvlJc w:val="left"/>
      <w:pPr>
        <w:ind w:left="1440" w:hanging="360"/>
      </w:pPr>
      <w:rPr>
        <w:rFonts w:ascii="Courier New" w:hAnsi="Courier New" w:cs="Courier New" w:hint="default"/>
      </w:rPr>
    </w:lvl>
    <w:lvl w:ilvl="2" w:tplc="A260DE36" w:tentative="1">
      <w:start w:val="1"/>
      <w:numFmt w:val="bullet"/>
      <w:lvlText w:val=""/>
      <w:lvlJc w:val="left"/>
      <w:pPr>
        <w:ind w:left="2160" w:hanging="360"/>
      </w:pPr>
      <w:rPr>
        <w:rFonts w:ascii="Wingdings" w:hAnsi="Wingdings" w:hint="default"/>
      </w:rPr>
    </w:lvl>
    <w:lvl w:ilvl="3" w:tplc="7C80DBEE" w:tentative="1">
      <w:start w:val="1"/>
      <w:numFmt w:val="bullet"/>
      <w:lvlText w:val=""/>
      <w:lvlJc w:val="left"/>
      <w:pPr>
        <w:ind w:left="2880" w:hanging="360"/>
      </w:pPr>
      <w:rPr>
        <w:rFonts w:ascii="Symbol" w:hAnsi="Symbol" w:hint="default"/>
      </w:rPr>
    </w:lvl>
    <w:lvl w:ilvl="4" w:tplc="E0888544" w:tentative="1">
      <w:start w:val="1"/>
      <w:numFmt w:val="bullet"/>
      <w:lvlText w:val="o"/>
      <w:lvlJc w:val="left"/>
      <w:pPr>
        <w:ind w:left="3600" w:hanging="360"/>
      </w:pPr>
      <w:rPr>
        <w:rFonts w:ascii="Courier New" w:hAnsi="Courier New" w:cs="Courier New" w:hint="default"/>
      </w:rPr>
    </w:lvl>
    <w:lvl w:ilvl="5" w:tplc="EA38FFB6" w:tentative="1">
      <w:start w:val="1"/>
      <w:numFmt w:val="bullet"/>
      <w:lvlText w:val=""/>
      <w:lvlJc w:val="left"/>
      <w:pPr>
        <w:ind w:left="4320" w:hanging="360"/>
      </w:pPr>
      <w:rPr>
        <w:rFonts w:ascii="Wingdings" w:hAnsi="Wingdings" w:hint="default"/>
      </w:rPr>
    </w:lvl>
    <w:lvl w:ilvl="6" w:tplc="6E644BCA" w:tentative="1">
      <w:start w:val="1"/>
      <w:numFmt w:val="bullet"/>
      <w:lvlText w:val=""/>
      <w:lvlJc w:val="left"/>
      <w:pPr>
        <w:ind w:left="5040" w:hanging="360"/>
      </w:pPr>
      <w:rPr>
        <w:rFonts w:ascii="Symbol" w:hAnsi="Symbol" w:hint="default"/>
      </w:rPr>
    </w:lvl>
    <w:lvl w:ilvl="7" w:tplc="E710E734" w:tentative="1">
      <w:start w:val="1"/>
      <w:numFmt w:val="bullet"/>
      <w:lvlText w:val="o"/>
      <w:lvlJc w:val="left"/>
      <w:pPr>
        <w:ind w:left="5760" w:hanging="360"/>
      </w:pPr>
      <w:rPr>
        <w:rFonts w:ascii="Courier New" w:hAnsi="Courier New" w:cs="Courier New" w:hint="default"/>
      </w:rPr>
    </w:lvl>
    <w:lvl w:ilvl="8" w:tplc="3BF6DC5E" w:tentative="1">
      <w:start w:val="1"/>
      <w:numFmt w:val="bullet"/>
      <w:lvlText w:val=""/>
      <w:lvlJc w:val="left"/>
      <w:pPr>
        <w:ind w:left="6480" w:hanging="360"/>
      </w:pPr>
      <w:rPr>
        <w:rFonts w:ascii="Wingdings" w:hAnsi="Wingdings" w:hint="default"/>
      </w:rPr>
    </w:lvl>
  </w:abstractNum>
  <w:abstractNum w:abstractNumId="1" w15:restartNumberingAfterBreak="0">
    <w:nsid w:val="0ABA43E9"/>
    <w:multiLevelType w:val="hybridMultilevel"/>
    <w:tmpl w:val="0AA4B668"/>
    <w:lvl w:ilvl="0" w:tplc="0A909D24">
      <w:start w:val="1"/>
      <w:numFmt w:val="bullet"/>
      <w:lvlText w:val=""/>
      <w:lvlJc w:val="left"/>
      <w:pPr>
        <w:ind w:left="720" w:hanging="360"/>
      </w:pPr>
      <w:rPr>
        <w:rFonts w:ascii="Symbol" w:hAnsi="Symbol" w:hint="default"/>
      </w:rPr>
    </w:lvl>
    <w:lvl w:ilvl="1" w:tplc="E12CD492" w:tentative="1">
      <w:start w:val="1"/>
      <w:numFmt w:val="bullet"/>
      <w:lvlText w:val="o"/>
      <w:lvlJc w:val="left"/>
      <w:pPr>
        <w:ind w:left="1440" w:hanging="360"/>
      </w:pPr>
      <w:rPr>
        <w:rFonts w:ascii="Courier New" w:hAnsi="Courier New" w:cs="Courier New" w:hint="default"/>
      </w:rPr>
    </w:lvl>
    <w:lvl w:ilvl="2" w:tplc="8D64AB2E" w:tentative="1">
      <w:start w:val="1"/>
      <w:numFmt w:val="bullet"/>
      <w:lvlText w:val=""/>
      <w:lvlJc w:val="left"/>
      <w:pPr>
        <w:ind w:left="2160" w:hanging="360"/>
      </w:pPr>
      <w:rPr>
        <w:rFonts w:ascii="Wingdings" w:hAnsi="Wingdings" w:hint="default"/>
      </w:rPr>
    </w:lvl>
    <w:lvl w:ilvl="3" w:tplc="97A63E84" w:tentative="1">
      <w:start w:val="1"/>
      <w:numFmt w:val="bullet"/>
      <w:lvlText w:val=""/>
      <w:lvlJc w:val="left"/>
      <w:pPr>
        <w:ind w:left="2880" w:hanging="360"/>
      </w:pPr>
      <w:rPr>
        <w:rFonts w:ascii="Symbol" w:hAnsi="Symbol" w:hint="default"/>
      </w:rPr>
    </w:lvl>
    <w:lvl w:ilvl="4" w:tplc="B9A20EB0" w:tentative="1">
      <w:start w:val="1"/>
      <w:numFmt w:val="bullet"/>
      <w:lvlText w:val="o"/>
      <w:lvlJc w:val="left"/>
      <w:pPr>
        <w:ind w:left="3600" w:hanging="360"/>
      </w:pPr>
      <w:rPr>
        <w:rFonts w:ascii="Courier New" w:hAnsi="Courier New" w:cs="Courier New" w:hint="default"/>
      </w:rPr>
    </w:lvl>
    <w:lvl w:ilvl="5" w:tplc="B79C57D2" w:tentative="1">
      <w:start w:val="1"/>
      <w:numFmt w:val="bullet"/>
      <w:lvlText w:val=""/>
      <w:lvlJc w:val="left"/>
      <w:pPr>
        <w:ind w:left="4320" w:hanging="360"/>
      </w:pPr>
      <w:rPr>
        <w:rFonts w:ascii="Wingdings" w:hAnsi="Wingdings" w:hint="default"/>
      </w:rPr>
    </w:lvl>
    <w:lvl w:ilvl="6" w:tplc="9CDAF3CE" w:tentative="1">
      <w:start w:val="1"/>
      <w:numFmt w:val="bullet"/>
      <w:lvlText w:val=""/>
      <w:lvlJc w:val="left"/>
      <w:pPr>
        <w:ind w:left="5040" w:hanging="360"/>
      </w:pPr>
      <w:rPr>
        <w:rFonts w:ascii="Symbol" w:hAnsi="Symbol" w:hint="default"/>
      </w:rPr>
    </w:lvl>
    <w:lvl w:ilvl="7" w:tplc="CEECAC50" w:tentative="1">
      <w:start w:val="1"/>
      <w:numFmt w:val="bullet"/>
      <w:lvlText w:val="o"/>
      <w:lvlJc w:val="left"/>
      <w:pPr>
        <w:ind w:left="5760" w:hanging="360"/>
      </w:pPr>
      <w:rPr>
        <w:rFonts w:ascii="Courier New" w:hAnsi="Courier New" w:cs="Courier New" w:hint="default"/>
      </w:rPr>
    </w:lvl>
    <w:lvl w:ilvl="8" w:tplc="2F2C069C" w:tentative="1">
      <w:start w:val="1"/>
      <w:numFmt w:val="bullet"/>
      <w:lvlText w:val=""/>
      <w:lvlJc w:val="left"/>
      <w:pPr>
        <w:ind w:left="6480" w:hanging="360"/>
      </w:pPr>
      <w:rPr>
        <w:rFonts w:ascii="Wingdings" w:hAnsi="Wingdings" w:hint="default"/>
      </w:rPr>
    </w:lvl>
  </w:abstractNum>
  <w:abstractNum w:abstractNumId="2" w15:restartNumberingAfterBreak="0">
    <w:nsid w:val="17485722"/>
    <w:multiLevelType w:val="hybridMultilevel"/>
    <w:tmpl w:val="EAF8E784"/>
    <w:lvl w:ilvl="0" w:tplc="BCAA7750">
      <w:start w:val="1"/>
      <w:numFmt w:val="bullet"/>
      <w:lvlText w:val=""/>
      <w:lvlJc w:val="left"/>
      <w:pPr>
        <w:tabs>
          <w:tab w:val="num" w:pos="720"/>
        </w:tabs>
        <w:ind w:left="720" w:hanging="360"/>
      </w:pPr>
      <w:rPr>
        <w:rFonts w:ascii="Symbol" w:hAnsi="Symbol" w:hint="default"/>
      </w:rPr>
    </w:lvl>
    <w:lvl w:ilvl="1" w:tplc="C6B46F6E">
      <w:start w:val="1"/>
      <w:numFmt w:val="bullet"/>
      <w:lvlText w:val="o"/>
      <w:lvlJc w:val="left"/>
      <w:pPr>
        <w:ind w:left="1440" w:hanging="360"/>
      </w:pPr>
      <w:rPr>
        <w:rFonts w:ascii="Courier New" w:hAnsi="Courier New" w:cs="Courier New" w:hint="default"/>
      </w:rPr>
    </w:lvl>
    <w:lvl w:ilvl="2" w:tplc="43903BBA" w:tentative="1">
      <w:start w:val="1"/>
      <w:numFmt w:val="bullet"/>
      <w:lvlText w:val=""/>
      <w:lvlJc w:val="left"/>
      <w:pPr>
        <w:ind w:left="2160" w:hanging="360"/>
      </w:pPr>
      <w:rPr>
        <w:rFonts w:ascii="Wingdings" w:hAnsi="Wingdings" w:hint="default"/>
      </w:rPr>
    </w:lvl>
    <w:lvl w:ilvl="3" w:tplc="AF80740A" w:tentative="1">
      <w:start w:val="1"/>
      <w:numFmt w:val="bullet"/>
      <w:lvlText w:val=""/>
      <w:lvlJc w:val="left"/>
      <w:pPr>
        <w:ind w:left="2880" w:hanging="360"/>
      </w:pPr>
      <w:rPr>
        <w:rFonts w:ascii="Symbol" w:hAnsi="Symbol" w:hint="default"/>
      </w:rPr>
    </w:lvl>
    <w:lvl w:ilvl="4" w:tplc="32821B92" w:tentative="1">
      <w:start w:val="1"/>
      <w:numFmt w:val="bullet"/>
      <w:lvlText w:val="o"/>
      <w:lvlJc w:val="left"/>
      <w:pPr>
        <w:ind w:left="3600" w:hanging="360"/>
      </w:pPr>
      <w:rPr>
        <w:rFonts w:ascii="Courier New" w:hAnsi="Courier New" w:cs="Courier New" w:hint="default"/>
      </w:rPr>
    </w:lvl>
    <w:lvl w:ilvl="5" w:tplc="1A8818D6" w:tentative="1">
      <w:start w:val="1"/>
      <w:numFmt w:val="bullet"/>
      <w:lvlText w:val=""/>
      <w:lvlJc w:val="left"/>
      <w:pPr>
        <w:ind w:left="4320" w:hanging="360"/>
      </w:pPr>
      <w:rPr>
        <w:rFonts w:ascii="Wingdings" w:hAnsi="Wingdings" w:hint="default"/>
      </w:rPr>
    </w:lvl>
    <w:lvl w:ilvl="6" w:tplc="25B28C08" w:tentative="1">
      <w:start w:val="1"/>
      <w:numFmt w:val="bullet"/>
      <w:lvlText w:val=""/>
      <w:lvlJc w:val="left"/>
      <w:pPr>
        <w:ind w:left="5040" w:hanging="360"/>
      </w:pPr>
      <w:rPr>
        <w:rFonts w:ascii="Symbol" w:hAnsi="Symbol" w:hint="default"/>
      </w:rPr>
    </w:lvl>
    <w:lvl w:ilvl="7" w:tplc="B064586E" w:tentative="1">
      <w:start w:val="1"/>
      <w:numFmt w:val="bullet"/>
      <w:lvlText w:val="o"/>
      <w:lvlJc w:val="left"/>
      <w:pPr>
        <w:ind w:left="5760" w:hanging="360"/>
      </w:pPr>
      <w:rPr>
        <w:rFonts w:ascii="Courier New" w:hAnsi="Courier New" w:cs="Courier New" w:hint="default"/>
      </w:rPr>
    </w:lvl>
    <w:lvl w:ilvl="8" w:tplc="EAB0E140" w:tentative="1">
      <w:start w:val="1"/>
      <w:numFmt w:val="bullet"/>
      <w:lvlText w:val=""/>
      <w:lvlJc w:val="left"/>
      <w:pPr>
        <w:ind w:left="6480" w:hanging="360"/>
      </w:pPr>
      <w:rPr>
        <w:rFonts w:ascii="Wingdings" w:hAnsi="Wingdings" w:hint="default"/>
      </w:rPr>
    </w:lvl>
  </w:abstractNum>
  <w:abstractNum w:abstractNumId="3" w15:restartNumberingAfterBreak="0">
    <w:nsid w:val="3B027339"/>
    <w:multiLevelType w:val="hybridMultilevel"/>
    <w:tmpl w:val="43E8A958"/>
    <w:lvl w:ilvl="0" w:tplc="F95038A8">
      <w:start w:val="1"/>
      <w:numFmt w:val="bullet"/>
      <w:lvlText w:val=""/>
      <w:lvlJc w:val="left"/>
      <w:pPr>
        <w:tabs>
          <w:tab w:val="num" w:pos="720"/>
        </w:tabs>
        <w:ind w:left="720" w:hanging="360"/>
      </w:pPr>
      <w:rPr>
        <w:rFonts w:ascii="Symbol" w:hAnsi="Symbol" w:hint="default"/>
      </w:rPr>
    </w:lvl>
    <w:lvl w:ilvl="1" w:tplc="0EE6EF6E" w:tentative="1">
      <w:start w:val="1"/>
      <w:numFmt w:val="bullet"/>
      <w:lvlText w:val="o"/>
      <w:lvlJc w:val="left"/>
      <w:pPr>
        <w:ind w:left="1440" w:hanging="360"/>
      </w:pPr>
      <w:rPr>
        <w:rFonts w:ascii="Courier New" w:hAnsi="Courier New" w:cs="Courier New" w:hint="default"/>
      </w:rPr>
    </w:lvl>
    <w:lvl w:ilvl="2" w:tplc="F89C3F84" w:tentative="1">
      <w:start w:val="1"/>
      <w:numFmt w:val="bullet"/>
      <w:lvlText w:val=""/>
      <w:lvlJc w:val="left"/>
      <w:pPr>
        <w:ind w:left="2160" w:hanging="360"/>
      </w:pPr>
      <w:rPr>
        <w:rFonts w:ascii="Wingdings" w:hAnsi="Wingdings" w:hint="default"/>
      </w:rPr>
    </w:lvl>
    <w:lvl w:ilvl="3" w:tplc="11E007A2" w:tentative="1">
      <w:start w:val="1"/>
      <w:numFmt w:val="bullet"/>
      <w:lvlText w:val=""/>
      <w:lvlJc w:val="left"/>
      <w:pPr>
        <w:ind w:left="2880" w:hanging="360"/>
      </w:pPr>
      <w:rPr>
        <w:rFonts w:ascii="Symbol" w:hAnsi="Symbol" w:hint="default"/>
      </w:rPr>
    </w:lvl>
    <w:lvl w:ilvl="4" w:tplc="16505962" w:tentative="1">
      <w:start w:val="1"/>
      <w:numFmt w:val="bullet"/>
      <w:lvlText w:val="o"/>
      <w:lvlJc w:val="left"/>
      <w:pPr>
        <w:ind w:left="3600" w:hanging="360"/>
      </w:pPr>
      <w:rPr>
        <w:rFonts w:ascii="Courier New" w:hAnsi="Courier New" w:cs="Courier New" w:hint="default"/>
      </w:rPr>
    </w:lvl>
    <w:lvl w:ilvl="5" w:tplc="7A464956" w:tentative="1">
      <w:start w:val="1"/>
      <w:numFmt w:val="bullet"/>
      <w:lvlText w:val=""/>
      <w:lvlJc w:val="left"/>
      <w:pPr>
        <w:ind w:left="4320" w:hanging="360"/>
      </w:pPr>
      <w:rPr>
        <w:rFonts w:ascii="Wingdings" w:hAnsi="Wingdings" w:hint="default"/>
      </w:rPr>
    </w:lvl>
    <w:lvl w:ilvl="6" w:tplc="E46ED29C" w:tentative="1">
      <w:start w:val="1"/>
      <w:numFmt w:val="bullet"/>
      <w:lvlText w:val=""/>
      <w:lvlJc w:val="left"/>
      <w:pPr>
        <w:ind w:left="5040" w:hanging="360"/>
      </w:pPr>
      <w:rPr>
        <w:rFonts w:ascii="Symbol" w:hAnsi="Symbol" w:hint="default"/>
      </w:rPr>
    </w:lvl>
    <w:lvl w:ilvl="7" w:tplc="2C7CD908" w:tentative="1">
      <w:start w:val="1"/>
      <w:numFmt w:val="bullet"/>
      <w:lvlText w:val="o"/>
      <w:lvlJc w:val="left"/>
      <w:pPr>
        <w:ind w:left="5760" w:hanging="360"/>
      </w:pPr>
      <w:rPr>
        <w:rFonts w:ascii="Courier New" w:hAnsi="Courier New" w:cs="Courier New" w:hint="default"/>
      </w:rPr>
    </w:lvl>
    <w:lvl w:ilvl="8" w:tplc="919EE154" w:tentative="1">
      <w:start w:val="1"/>
      <w:numFmt w:val="bullet"/>
      <w:lvlText w:val=""/>
      <w:lvlJc w:val="left"/>
      <w:pPr>
        <w:ind w:left="6480" w:hanging="360"/>
      </w:pPr>
      <w:rPr>
        <w:rFonts w:ascii="Wingdings" w:hAnsi="Wingdings" w:hint="default"/>
      </w:rPr>
    </w:lvl>
  </w:abstractNum>
  <w:abstractNum w:abstractNumId="4" w15:restartNumberingAfterBreak="0">
    <w:nsid w:val="3CA67515"/>
    <w:multiLevelType w:val="hybridMultilevel"/>
    <w:tmpl w:val="1284CC6C"/>
    <w:lvl w:ilvl="0" w:tplc="0A8E2856">
      <w:start w:val="1"/>
      <w:numFmt w:val="bullet"/>
      <w:lvlText w:val=""/>
      <w:lvlJc w:val="left"/>
      <w:pPr>
        <w:tabs>
          <w:tab w:val="num" w:pos="720"/>
        </w:tabs>
        <w:ind w:left="720" w:hanging="360"/>
      </w:pPr>
      <w:rPr>
        <w:rFonts w:ascii="Symbol" w:hAnsi="Symbol" w:hint="default"/>
      </w:rPr>
    </w:lvl>
    <w:lvl w:ilvl="1" w:tplc="F24ABC78" w:tentative="1">
      <w:start w:val="1"/>
      <w:numFmt w:val="bullet"/>
      <w:lvlText w:val="o"/>
      <w:lvlJc w:val="left"/>
      <w:pPr>
        <w:ind w:left="1440" w:hanging="360"/>
      </w:pPr>
      <w:rPr>
        <w:rFonts w:ascii="Courier New" w:hAnsi="Courier New" w:cs="Courier New" w:hint="default"/>
      </w:rPr>
    </w:lvl>
    <w:lvl w:ilvl="2" w:tplc="E326C670" w:tentative="1">
      <w:start w:val="1"/>
      <w:numFmt w:val="bullet"/>
      <w:lvlText w:val=""/>
      <w:lvlJc w:val="left"/>
      <w:pPr>
        <w:ind w:left="2160" w:hanging="360"/>
      </w:pPr>
      <w:rPr>
        <w:rFonts w:ascii="Wingdings" w:hAnsi="Wingdings" w:hint="default"/>
      </w:rPr>
    </w:lvl>
    <w:lvl w:ilvl="3" w:tplc="3A2AE858" w:tentative="1">
      <w:start w:val="1"/>
      <w:numFmt w:val="bullet"/>
      <w:lvlText w:val=""/>
      <w:lvlJc w:val="left"/>
      <w:pPr>
        <w:ind w:left="2880" w:hanging="360"/>
      </w:pPr>
      <w:rPr>
        <w:rFonts w:ascii="Symbol" w:hAnsi="Symbol" w:hint="default"/>
      </w:rPr>
    </w:lvl>
    <w:lvl w:ilvl="4" w:tplc="1CCE5D4E" w:tentative="1">
      <w:start w:val="1"/>
      <w:numFmt w:val="bullet"/>
      <w:lvlText w:val="o"/>
      <w:lvlJc w:val="left"/>
      <w:pPr>
        <w:ind w:left="3600" w:hanging="360"/>
      </w:pPr>
      <w:rPr>
        <w:rFonts w:ascii="Courier New" w:hAnsi="Courier New" w:cs="Courier New" w:hint="default"/>
      </w:rPr>
    </w:lvl>
    <w:lvl w:ilvl="5" w:tplc="D34A3E30" w:tentative="1">
      <w:start w:val="1"/>
      <w:numFmt w:val="bullet"/>
      <w:lvlText w:val=""/>
      <w:lvlJc w:val="left"/>
      <w:pPr>
        <w:ind w:left="4320" w:hanging="360"/>
      </w:pPr>
      <w:rPr>
        <w:rFonts w:ascii="Wingdings" w:hAnsi="Wingdings" w:hint="default"/>
      </w:rPr>
    </w:lvl>
    <w:lvl w:ilvl="6" w:tplc="4B988888" w:tentative="1">
      <w:start w:val="1"/>
      <w:numFmt w:val="bullet"/>
      <w:lvlText w:val=""/>
      <w:lvlJc w:val="left"/>
      <w:pPr>
        <w:ind w:left="5040" w:hanging="360"/>
      </w:pPr>
      <w:rPr>
        <w:rFonts w:ascii="Symbol" w:hAnsi="Symbol" w:hint="default"/>
      </w:rPr>
    </w:lvl>
    <w:lvl w:ilvl="7" w:tplc="609CCAB4" w:tentative="1">
      <w:start w:val="1"/>
      <w:numFmt w:val="bullet"/>
      <w:lvlText w:val="o"/>
      <w:lvlJc w:val="left"/>
      <w:pPr>
        <w:ind w:left="5760" w:hanging="360"/>
      </w:pPr>
      <w:rPr>
        <w:rFonts w:ascii="Courier New" w:hAnsi="Courier New" w:cs="Courier New" w:hint="default"/>
      </w:rPr>
    </w:lvl>
    <w:lvl w:ilvl="8" w:tplc="1436CF70" w:tentative="1">
      <w:start w:val="1"/>
      <w:numFmt w:val="bullet"/>
      <w:lvlText w:val=""/>
      <w:lvlJc w:val="left"/>
      <w:pPr>
        <w:ind w:left="6480" w:hanging="360"/>
      </w:pPr>
      <w:rPr>
        <w:rFonts w:ascii="Wingdings" w:hAnsi="Wingdings" w:hint="default"/>
      </w:rPr>
    </w:lvl>
  </w:abstractNum>
  <w:abstractNum w:abstractNumId="5" w15:restartNumberingAfterBreak="0">
    <w:nsid w:val="66907F9C"/>
    <w:multiLevelType w:val="hybridMultilevel"/>
    <w:tmpl w:val="9D6EEEC4"/>
    <w:lvl w:ilvl="0" w:tplc="8FF8C13E">
      <w:start w:val="1"/>
      <w:numFmt w:val="bullet"/>
      <w:lvlText w:val=""/>
      <w:lvlJc w:val="left"/>
      <w:pPr>
        <w:ind w:left="720" w:hanging="360"/>
      </w:pPr>
      <w:rPr>
        <w:rFonts w:ascii="Symbol" w:hAnsi="Symbol" w:hint="default"/>
      </w:rPr>
    </w:lvl>
    <w:lvl w:ilvl="1" w:tplc="0AC4608C">
      <w:start w:val="1"/>
      <w:numFmt w:val="bullet"/>
      <w:lvlText w:val="o"/>
      <w:lvlJc w:val="left"/>
      <w:pPr>
        <w:ind w:left="1440" w:hanging="360"/>
      </w:pPr>
      <w:rPr>
        <w:rFonts w:ascii="Courier New" w:hAnsi="Courier New" w:cs="Courier New" w:hint="default"/>
      </w:rPr>
    </w:lvl>
    <w:lvl w:ilvl="2" w:tplc="566CF1A8" w:tentative="1">
      <w:start w:val="1"/>
      <w:numFmt w:val="bullet"/>
      <w:lvlText w:val=""/>
      <w:lvlJc w:val="left"/>
      <w:pPr>
        <w:ind w:left="2160" w:hanging="360"/>
      </w:pPr>
      <w:rPr>
        <w:rFonts w:ascii="Wingdings" w:hAnsi="Wingdings" w:hint="default"/>
      </w:rPr>
    </w:lvl>
    <w:lvl w:ilvl="3" w:tplc="487AE1AC" w:tentative="1">
      <w:start w:val="1"/>
      <w:numFmt w:val="bullet"/>
      <w:lvlText w:val=""/>
      <w:lvlJc w:val="left"/>
      <w:pPr>
        <w:ind w:left="2880" w:hanging="360"/>
      </w:pPr>
      <w:rPr>
        <w:rFonts w:ascii="Symbol" w:hAnsi="Symbol" w:hint="default"/>
      </w:rPr>
    </w:lvl>
    <w:lvl w:ilvl="4" w:tplc="3452A930" w:tentative="1">
      <w:start w:val="1"/>
      <w:numFmt w:val="bullet"/>
      <w:lvlText w:val="o"/>
      <w:lvlJc w:val="left"/>
      <w:pPr>
        <w:ind w:left="3600" w:hanging="360"/>
      </w:pPr>
      <w:rPr>
        <w:rFonts w:ascii="Courier New" w:hAnsi="Courier New" w:cs="Courier New" w:hint="default"/>
      </w:rPr>
    </w:lvl>
    <w:lvl w:ilvl="5" w:tplc="2FBED958" w:tentative="1">
      <w:start w:val="1"/>
      <w:numFmt w:val="bullet"/>
      <w:lvlText w:val=""/>
      <w:lvlJc w:val="left"/>
      <w:pPr>
        <w:ind w:left="4320" w:hanging="360"/>
      </w:pPr>
      <w:rPr>
        <w:rFonts w:ascii="Wingdings" w:hAnsi="Wingdings" w:hint="default"/>
      </w:rPr>
    </w:lvl>
    <w:lvl w:ilvl="6" w:tplc="B034696A" w:tentative="1">
      <w:start w:val="1"/>
      <w:numFmt w:val="bullet"/>
      <w:lvlText w:val=""/>
      <w:lvlJc w:val="left"/>
      <w:pPr>
        <w:ind w:left="5040" w:hanging="360"/>
      </w:pPr>
      <w:rPr>
        <w:rFonts w:ascii="Symbol" w:hAnsi="Symbol" w:hint="default"/>
      </w:rPr>
    </w:lvl>
    <w:lvl w:ilvl="7" w:tplc="85082E2E" w:tentative="1">
      <w:start w:val="1"/>
      <w:numFmt w:val="bullet"/>
      <w:lvlText w:val="o"/>
      <w:lvlJc w:val="left"/>
      <w:pPr>
        <w:ind w:left="5760" w:hanging="360"/>
      </w:pPr>
      <w:rPr>
        <w:rFonts w:ascii="Courier New" w:hAnsi="Courier New" w:cs="Courier New" w:hint="default"/>
      </w:rPr>
    </w:lvl>
    <w:lvl w:ilvl="8" w:tplc="FCF044E6" w:tentative="1">
      <w:start w:val="1"/>
      <w:numFmt w:val="bullet"/>
      <w:lvlText w:val=""/>
      <w:lvlJc w:val="left"/>
      <w:pPr>
        <w:ind w:left="6480" w:hanging="360"/>
      </w:pPr>
      <w:rPr>
        <w:rFonts w:ascii="Wingdings" w:hAnsi="Wingdings" w:hint="default"/>
      </w:rPr>
    </w:lvl>
  </w:abstractNum>
  <w:abstractNum w:abstractNumId="6" w15:restartNumberingAfterBreak="0">
    <w:nsid w:val="75FB6D31"/>
    <w:multiLevelType w:val="hybridMultilevel"/>
    <w:tmpl w:val="68608442"/>
    <w:lvl w:ilvl="0" w:tplc="E14E0E80">
      <w:start w:val="1"/>
      <w:numFmt w:val="bullet"/>
      <w:lvlText w:val=""/>
      <w:lvlJc w:val="left"/>
      <w:pPr>
        <w:tabs>
          <w:tab w:val="num" w:pos="720"/>
        </w:tabs>
        <w:ind w:left="720" w:hanging="360"/>
      </w:pPr>
      <w:rPr>
        <w:rFonts w:ascii="Symbol" w:hAnsi="Symbol" w:hint="default"/>
      </w:rPr>
    </w:lvl>
    <w:lvl w:ilvl="1" w:tplc="91DE950A" w:tentative="1">
      <w:start w:val="1"/>
      <w:numFmt w:val="bullet"/>
      <w:lvlText w:val="o"/>
      <w:lvlJc w:val="left"/>
      <w:pPr>
        <w:ind w:left="1440" w:hanging="360"/>
      </w:pPr>
      <w:rPr>
        <w:rFonts w:ascii="Courier New" w:hAnsi="Courier New" w:cs="Courier New" w:hint="default"/>
      </w:rPr>
    </w:lvl>
    <w:lvl w:ilvl="2" w:tplc="07DAA0CC" w:tentative="1">
      <w:start w:val="1"/>
      <w:numFmt w:val="bullet"/>
      <w:lvlText w:val=""/>
      <w:lvlJc w:val="left"/>
      <w:pPr>
        <w:ind w:left="2160" w:hanging="360"/>
      </w:pPr>
      <w:rPr>
        <w:rFonts w:ascii="Wingdings" w:hAnsi="Wingdings" w:hint="default"/>
      </w:rPr>
    </w:lvl>
    <w:lvl w:ilvl="3" w:tplc="4FB8A010" w:tentative="1">
      <w:start w:val="1"/>
      <w:numFmt w:val="bullet"/>
      <w:lvlText w:val=""/>
      <w:lvlJc w:val="left"/>
      <w:pPr>
        <w:ind w:left="2880" w:hanging="360"/>
      </w:pPr>
      <w:rPr>
        <w:rFonts w:ascii="Symbol" w:hAnsi="Symbol" w:hint="default"/>
      </w:rPr>
    </w:lvl>
    <w:lvl w:ilvl="4" w:tplc="0F6A91FC" w:tentative="1">
      <w:start w:val="1"/>
      <w:numFmt w:val="bullet"/>
      <w:lvlText w:val="o"/>
      <w:lvlJc w:val="left"/>
      <w:pPr>
        <w:ind w:left="3600" w:hanging="360"/>
      </w:pPr>
      <w:rPr>
        <w:rFonts w:ascii="Courier New" w:hAnsi="Courier New" w:cs="Courier New" w:hint="default"/>
      </w:rPr>
    </w:lvl>
    <w:lvl w:ilvl="5" w:tplc="E2987574" w:tentative="1">
      <w:start w:val="1"/>
      <w:numFmt w:val="bullet"/>
      <w:lvlText w:val=""/>
      <w:lvlJc w:val="left"/>
      <w:pPr>
        <w:ind w:left="4320" w:hanging="360"/>
      </w:pPr>
      <w:rPr>
        <w:rFonts w:ascii="Wingdings" w:hAnsi="Wingdings" w:hint="default"/>
      </w:rPr>
    </w:lvl>
    <w:lvl w:ilvl="6" w:tplc="8730ABE2" w:tentative="1">
      <w:start w:val="1"/>
      <w:numFmt w:val="bullet"/>
      <w:lvlText w:val=""/>
      <w:lvlJc w:val="left"/>
      <w:pPr>
        <w:ind w:left="5040" w:hanging="360"/>
      </w:pPr>
      <w:rPr>
        <w:rFonts w:ascii="Symbol" w:hAnsi="Symbol" w:hint="default"/>
      </w:rPr>
    </w:lvl>
    <w:lvl w:ilvl="7" w:tplc="9DE4B91C" w:tentative="1">
      <w:start w:val="1"/>
      <w:numFmt w:val="bullet"/>
      <w:lvlText w:val="o"/>
      <w:lvlJc w:val="left"/>
      <w:pPr>
        <w:ind w:left="5760" w:hanging="360"/>
      </w:pPr>
      <w:rPr>
        <w:rFonts w:ascii="Courier New" w:hAnsi="Courier New" w:cs="Courier New" w:hint="default"/>
      </w:rPr>
    </w:lvl>
    <w:lvl w:ilvl="8" w:tplc="07E08298" w:tentative="1">
      <w:start w:val="1"/>
      <w:numFmt w:val="bullet"/>
      <w:lvlText w:val=""/>
      <w:lvlJc w:val="left"/>
      <w:pPr>
        <w:ind w:left="6480" w:hanging="360"/>
      </w:pPr>
      <w:rPr>
        <w:rFonts w:ascii="Wingdings" w:hAnsi="Wingdings" w:hint="default"/>
      </w:rPr>
    </w:lvl>
  </w:abstractNum>
  <w:abstractNum w:abstractNumId="7" w15:restartNumberingAfterBreak="0">
    <w:nsid w:val="7EAF4570"/>
    <w:multiLevelType w:val="hybridMultilevel"/>
    <w:tmpl w:val="51A230D8"/>
    <w:lvl w:ilvl="0" w:tplc="81A41196">
      <w:start w:val="1"/>
      <w:numFmt w:val="bullet"/>
      <w:lvlText w:val=""/>
      <w:lvlJc w:val="left"/>
      <w:pPr>
        <w:tabs>
          <w:tab w:val="num" w:pos="720"/>
        </w:tabs>
        <w:ind w:left="720" w:hanging="360"/>
      </w:pPr>
      <w:rPr>
        <w:rFonts w:ascii="Symbol" w:hAnsi="Symbol" w:hint="default"/>
      </w:rPr>
    </w:lvl>
    <w:lvl w:ilvl="1" w:tplc="EC760B1A" w:tentative="1">
      <w:start w:val="1"/>
      <w:numFmt w:val="bullet"/>
      <w:lvlText w:val="o"/>
      <w:lvlJc w:val="left"/>
      <w:pPr>
        <w:ind w:left="1440" w:hanging="360"/>
      </w:pPr>
      <w:rPr>
        <w:rFonts w:ascii="Courier New" w:hAnsi="Courier New" w:cs="Courier New" w:hint="default"/>
      </w:rPr>
    </w:lvl>
    <w:lvl w:ilvl="2" w:tplc="39B66258" w:tentative="1">
      <w:start w:val="1"/>
      <w:numFmt w:val="bullet"/>
      <w:lvlText w:val=""/>
      <w:lvlJc w:val="left"/>
      <w:pPr>
        <w:ind w:left="2160" w:hanging="360"/>
      </w:pPr>
      <w:rPr>
        <w:rFonts w:ascii="Wingdings" w:hAnsi="Wingdings" w:hint="default"/>
      </w:rPr>
    </w:lvl>
    <w:lvl w:ilvl="3" w:tplc="4DBCA2E8" w:tentative="1">
      <w:start w:val="1"/>
      <w:numFmt w:val="bullet"/>
      <w:lvlText w:val=""/>
      <w:lvlJc w:val="left"/>
      <w:pPr>
        <w:ind w:left="2880" w:hanging="360"/>
      </w:pPr>
      <w:rPr>
        <w:rFonts w:ascii="Symbol" w:hAnsi="Symbol" w:hint="default"/>
      </w:rPr>
    </w:lvl>
    <w:lvl w:ilvl="4" w:tplc="2B70C3B6" w:tentative="1">
      <w:start w:val="1"/>
      <w:numFmt w:val="bullet"/>
      <w:lvlText w:val="o"/>
      <w:lvlJc w:val="left"/>
      <w:pPr>
        <w:ind w:left="3600" w:hanging="360"/>
      </w:pPr>
      <w:rPr>
        <w:rFonts w:ascii="Courier New" w:hAnsi="Courier New" w:cs="Courier New" w:hint="default"/>
      </w:rPr>
    </w:lvl>
    <w:lvl w:ilvl="5" w:tplc="9F761E38" w:tentative="1">
      <w:start w:val="1"/>
      <w:numFmt w:val="bullet"/>
      <w:lvlText w:val=""/>
      <w:lvlJc w:val="left"/>
      <w:pPr>
        <w:ind w:left="4320" w:hanging="360"/>
      </w:pPr>
      <w:rPr>
        <w:rFonts w:ascii="Wingdings" w:hAnsi="Wingdings" w:hint="default"/>
      </w:rPr>
    </w:lvl>
    <w:lvl w:ilvl="6" w:tplc="B7409BF4" w:tentative="1">
      <w:start w:val="1"/>
      <w:numFmt w:val="bullet"/>
      <w:lvlText w:val=""/>
      <w:lvlJc w:val="left"/>
      <w:pPr>
        <w:ind w:left="5040" w:hanging="360"/>
      </w:pPr>
      <w:rPr>
        <w:rFonts w:ascii="Symbol" w:hAnsi="Symbol" w:hint="default"/>
      </w:rPr>
    </w:lvl>
    <w:lvl w:ilvl="7" w:tplc="7F382FB0" w:tentative="1">
      <w:start w:val="1"/>
      <w:numFmt w:val="bullet"/>
      <w:lvlText w:val="o"/>
      <w:lvlJc w:val="left"/>
      <w:pPr>
        <w:ind w:left="5760" w:hanging="360"/>
      </w:pPr>
      <w:rPr>
        <w:rFonts w:ascii="Courier New" w:hAnsi="Courier New" w:cs="Courier New" w:hint="default"/>
      </w:rPr>
    </w:lvl>
    <w:lvl w:ilvl="8" w:tplc="D960C7CE"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E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37A82"/>
    <w:rsid w:val="000400D5"/>
    <w:rsid w:val="00043B84"/>
    <w:rsid w:val="0004512B"/>
    <w:rsid w:val="000463F0"/>
    <w:rsid w:val="00046BDA"/>
    <w:rsid w:val="0004762E"/>
    <w:rsid w:val="000532BD"/>
    <w:rsid w:val="000555E0"/>
    <w:rsid w:val="00055C12"/>
    <w:rsid w:val="000608B0"/>
    <w:rsid w:val="0006104C"/>
    <w:rsid w:val="00064144"/>
    <w:rsid w:val="00064BF2"/>
    <w:rsid w:val="000667BA"/>
    <w:rsid w:val="000676A7"/>
    <w:rsid w:val="00073914"/>
    <w:rsid w:val="00074236"/>
    <w:rsid w:val="000746BD"/>
    <w:rsid w:val="00076D7D"/>
    <w:rsid w:val="00080D95"/>
    <w:rsid w:val="0008729D"/>
    <w:rsid w:val="00090E6B"/>
    <w:rsid w:val="00091B2C"/>
    <w:rsid w:val="00092ABC"/>
    <w:rsid w:val="00097AAF"/>
    <w:rsid w:val="00097D13"/>
    <w:rsid w:val="000A4893"/>
    <w:rsid w:val="000A54E0"/>
    <w:rsid w:val="000A72C4"/>
    <w:rsid w:val="000B0F30"/>
    <w:rsid w:val="000B1486"/>
    <w:rsid w:val="000B3E61"/>
    <w:rsid w:val="000B4D03"/>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662"/>
    <w:rsid w:val="0011378D"/>
    <w:rsid w:val="00114A53"/>
    <w:rsid w:val="00115EE9"/>
    <w:rsid w:val="001169F9"/>
    <w:rsid w:val="00120797"/>
    <w:rsid w:val="001218D2"/>
    <w:rsid w:val="0012371B"/>
    <w:rsid w:val="001245C8"/>
    <w:rsid w:val="00124653"/>
    <w:rsid w:val="001247C5"/>
    <w:rsid w:val="00125533"/>
    <w:rsid w:val="00127893"/>
    <w:rsid w:val="001312BB"/>
    <w:rsid w:val="00137D90"/>
    <w:rsid w:val="00141FB6"/>
    <w:rsid w:val="00142F8E"/>
    <w:rsid w:val="00143C8B"/>
    <w:rsid w:val="00147530"/>
    <w:rsid w:val="0015331F"/>
    <w:rsid w:val="00153669"/>
    <w:rsid w:val="00156AB2"/>
    <w:rsid w:val="00160402"/>
    <w:rsid w:val="00160571"/>
    <w:rsid w:val="00161E93"/>
    <w:rsid w:val="00162C7A"/>
    <w:rsid w:val="00162DAE"/>
    <w:rsid w:val="001639C5"/>
    <w:rsid w:val="00163E45"/>
    <w:rsid w:val="001664C2"/>
    <w:rsid w:val="00171BF2"/>
    <w:rsid w:val="00171E14"/>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47D7C"/>
    <w:rsid w:val="00250A50"/>
    <w:rsid w:val="00251ED5"/>
    <w:rsid w:val="00254BEF"/>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09A"/>
    <w:rsid w:val="002C3203"/>
    <w:rsid w:val="002C3B07"/>
    <w:rsid w:val="002C532B"/>
    <w:rsid w:val="002C5713"/>
    <w:rsid w:val="002D05CC"/>
    <w:rsid w:val="002D305A"/>
    <w:rsid w:val="002E21B8"/>
    <w:rsid w:val="002E2828"/>
    <w:rsid w:val="002E7DF9"/>
    <w:rsid w:val="002F097B"/>
    <w:rsid w:val="002F2147"/>
    <w:rsid w:val="002F3111"/>
    <w:rsid w:val="002F4AEC"/>
    <w:rsid w:val="002F795D"/>
    <w:rsid w:val="00300823"/>
    <w:rsid w:val="00300D7F"/>
    <w:rsid w:val="00301638"/>
    <w:rsid w:val="00303B0C"/>
    <w:rsid w:val="0030459C"/>
    <w:rsid w:val="00312CD7"/>
    <w:rsid w:val="00313DFE"/>
    <w:rsid w:val="003143B2"/>
    <w:rsid w:val="00314821"/>
    <w:rsid w:val="0031483F"/>
    <w:rsid w:val="0031741B"/>
    <w:rsid w:val="003200E7"/>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4B0"/>
    <w:rsid w:val="00361FE9"/>
    <w:rsid w:val="003624F2"/>
    <w:rsid w:val="00363854"/>
    <w:rsid w:val="00364315"/>
    <w:rsid w:val="003643E2"/>
    <w:rsid w:val="00370155"/>
    <w:rsid w:val="003712D5"/>
    <w:rsid w:val="003747DF"/>
    <w:rsid w:val="00377E3D"/>
    <w:rsid w:val="003847E8"/>
    <w:rsid w:val="00386FEE"/>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5F03"/>
    <w:rsid w:val="003D726D"/>
    <w:rsid w:val="003E0875"/>
    <w:rsid w:val="003E0BB8"/>
    <w:rsid w:val="003E2767"/>
    <w:rsid w:val="003E6CB0"/>
    <w:rsid w:val="003F1F5E"/>
    <w:rsid w:val="003F286A"/>
    <w:rsid w:val="003F6614"/>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5556"/>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074"/>
    <w:rsid w:val="004977A3"/>
    <w:rsid w:val="004A03F7"/>
    <w:rsid w:val="004A081C"/>
    <w:rsid w:val="004A123F"/>
    <w:rsid w:val="004A2172"/>
    <w:rsid w:val="004A239F"/>
    <w:rsid w:val="004B138F"/>
    <w:rsid w:val="004B412A"/>
    <w:rsid w:val="004B4400"/>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3653C"/>
    <w:rsid w:val="00541B98"/>
    <w:rsid w:val="00543374"/>
    <w:rsid w:val="00545548"/>
    <w:rsid w:val="00546923"/>
    <w:rsid w:val="005507C9"/>
    <w:rsid w:val="00551CA6"/>
    <w:rsid w:val="00555034"/>
    <w:rsid w:val="005570D2"/>
    <w:rsid w:val="00560B5C"/>
    <w:rsid w:val="00561528"/>
    <w:rsid w:val="0056153F"/>
    <w:rsid w:val="00561B14"/>
    <w:rsid w:val="00562179"/>
    <w:rsid w:val="00562C87"/>
    <w:rsid w:val="00563619"/>
    <w:rsid w:val="005636BD"/>
    <w:rsid w:val="005666D5"/>
    <w:rsid w:val="005669A7"/>
    <w:rsid w:val="0057188F"/>
    <w:rsid w:val="005718DE"/>
    <w:rsid w:val="00573401"/>
    <w:rsid w:val="0057567A"/>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C6C8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13"/>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4C59"/>
    <w:rsid w:val="00766E12"/>
    <w:rsid w:val="0077098E"/>
    <w:rsid w:val="00771287"/>
    <w:rsid w:val="0077149E"/>
    <w:rsid w:val="00777518"/>
    <w:rsid w:val="0077779E"/>
    <w:rsid w:val="00780FB6"/>
    <w:rsid w:val="0078552A"/>
    <w:rsid w:val="00785729"/>
    <w:rsid w:val="00786058"/>
    <w:rsid w:val="00791E13"/>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34F2"/>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379D6"/>
    <w:rsid w:val="0084176D"/>
    <w:rsid w:val="008423E4"/>
    <w:rsid w:val="00842900"/>
    <w:rsid w:val="00847B21"/>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4FE2"/>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1BD8"/>
    <w:rsid w:val="008C3FD0"/>
    <w:rsid w:val="008D27A5"/>
    <w:rsid w:val="008D2AAB"/>
    <w:rsid w:val="008D309C"/>
    <w:rsid w:val="008D58F9"/>
    <w:rsid w:val="008D7427"/>
    <w:rsid w:val="008E3338"/>
    <w:rsid w:val="008E47BE"/>
    <w:rsid w:val="008E5912"/>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0401"/>
    <w:rsid w:val="00953499"/>
    <w:rsid w:val="00954A16"/>
    <w:rsid w:val="0095696D"/>
    <w:rsid w:val="00960F2D"/>
    <w:rsid w:val="0096482F"/>
    <w:rsid w:val="00964E3A"/>
    <w:rsid w:val="00967126"/>
    <w:rsid w:val="00967BF8"/>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0021"/>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AC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2935"/>
    <w:rsid w:val="00AA597A"/>
    <w:rsid w:val="00AA66AD"/>
    <w:rsid w:val="00AA67A3"/>
    <w:rsid w:val="00AA6F4C"/>
    <w:rsid w:val="00AA7E52"/>
    <w:rsid w:val="00AB1655"/>
    <w:rsid w:val="00AB1873"/>
    <w:rsid w:val="00AB2C05"/>
    <w:rsid w:val="00AB3536"/>
    <w:rsid w:val="00AB474B"/>
    <w:rsid w:val="00AB5CCC"/>
    <w:rsid w:val="00AB74E2"/>
    <w:rsid w:val="00AC2E9A"/>
    <w:rsid w:val="00AC5AAB"/>
    <w:rsid w:val="00AC5AEC"/>
    <w:rsid w:val="00AC5F28"/>
    <w:rsid w:val="00AC6900"/>
    <w:rsid w:val="00AC7DDD"/>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4E7"/>
    <w:rsid w:val="00B1557F"/>
    <w:rsid w:val="00B1668D"/>
    <w:rsid w:val="00B17981"/>
    <w:rsid w:val="00B233BB"/>
    <w:rsid w:val="00B25612"/>
    <w:rsid w:val="00B26437"/>
    <w:rsid w:val="00B2678E"/>
    <w:rsid w:val="00B30647"/>
    <w:rsid w:val="00B31F0E"/>
    <w:rsid w:val="00B34F25"/>
    <w:rsid w:val="00B427C8"/>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4876"/>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19E"/>
    <w:rsid w:val="00CF4827"/>
    <w:rsid w:val="00CF4C69"/>
    <w:rsid w:val="00CF581C"/>
    <w:rsid w:val="00CF71E0"/>
    <w:rsid w:val="00CF75A8"/>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1021"/>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4F86"/>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3E3D"/>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12D3"/>
    <w:rsid w:val="00EB27F2"/>
    <w:rsid w:val="00EB3928"/>
    <w:rsid w:val="00EB5373"/>
    <w:rsid w:val="00EC02A2"/>
    <w:rsid w:val="00EC379B"/>
    <w:rsid w:val="00EC37DF"/>
    <w:rsid w:val="00EC3A99"/>
    <w:rsid w:val="00EC41B1"/>
    <w:rsid w:val="00EC5000"/>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224"/>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3818"/>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2B54"/>
    <w:rsid w:val="00F733A4"/>
    <w:rsid w:val="00F7758F"/>
    <w:rsid w:val="00F82811"/>
    <w:rsid w:val="00F84153"/>
    <w:rsid w:val="00F85661"/>
    <w:rsid w:val="00F961A2"/>
    <w:rsid w:val="00F96602"/>
    <w:rsid w:val="00F9735A"/>
    <w:rsid w:val="00FA32FC"/>
    <w:rsid w:val="00FA59FD"/>
    <w:rsid w:val="00FA5D8C"/>
    <w:rsid w:val="00FA6403"/>
    <w:rsid w:val="00FB16CD"/>
    <w:rsid w:val="00FB73AE"/>
    <w:rsid w:val="00FC5388"/>
    <w:rsid w:val="00FC726C"/>
    <w:rsid w:val="00FD1B4B"/>
    <w:rsid w:val="00FD1B94"/>
    <w:rsid w:val="00FD3355"/>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BF83BB-3E21-4F1D-AC64-DEF7132B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86FEE"/>
    <w:rPr>
      <w:sz w:val="16"/>
      <w:szCs w:val="16"/>
    </w:rPr>
  </w:style>
  <w:style w:type="paragraph" w:styleId="CommentText">
    <w:name w:val="annotation text"/>
    <w:basedOn w:val="Normal"/>
    <w:link w:val="CommentTextChar"/>
    <w:semiHidden/>
    <w:unhideWhenUsed/>
    <w:rsid w:val="00386FEE"/>
    <w:rPr>
      <w:sz w:val="20"/>
      <w:szCs w:val="20"/>
    </w:rPr>
  </w:style>
  <w:style w:type="character" w:customStyle="1" w:styleId="CommentTextChar">
    <w:name w:val="Comment Text Char"/>
    <w:basedOn w:val="DefaultParagraphFont"/>
    <w:link w:val="CommentText"/>
    <w:semiHidden/>
    <w:rsid w:val="00386FEE"/>
  </w:style>
  <w:style w:type="paragraph" w:styleId="CommentSubject">
    <w:name w:val="annotation subject"/>
    <w:basedOn w:val="CommentText"/>
    <w:next w:val="CommentText"/>
    <w:link w:val="CommentSubjectChar"/>
    <w:semiHidden/>
    <w:unhideWhenUsed/>
    <w:rsid w:val="00386FEE"/>
    <w:rPr>
      <w:b/>
      <w:bCs/>
    </w:rPr>
  </w:style>
  <w:style w:type="character" w:customStyle="1" w:styleId="CommentSubjectChar">
    <w:name w:val="Comment Subject Char"/>
    <w:basedOn w:val="CommentTextChar"/>
    <w:link w:val="CommentSubject"/>
    <w:semiHidden/>
    <w:rsid w:val="00386FEE"/>
    <w:rPr>
      <w:b/>
      <w:bCs/>
    </w:rPr>
  </w:style>
  <w:style w:type="paragraph" w:styleId="ListParagraph">
    <w:name w:val="List Paragraph"/>
    <w:basedOn w:val="Normal"/>
    <w:uiPriority w:val="34"/>
    <w:qFormat/>
    <w:rsid w:val="00AC7DDD"/>
    <w:pPr>
      <w:ind w:left="720"/>
      <w:contextualSpacing/>
    </w:pPr>
  </w:style>
  <w:style w:type="paragraph" w:styleId="Revision">
    <w:name w:val="Revision"/>
    <w:hidden/>
    <w:uiPriority w:val="99"/>
    <w:semiHidden/>
    <w:rsid w:val="00AA6F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1865</Words>
  <Characters>10682</Characters>
  <Application>Microsoft Office Word</Application>
  <DocSecurity>4</DocSecurity>
  <Lines>198</Lines>
  <Paragraphs>62</Paragraphs>
  <ScaleCrop>false</ScaleCrop>
  <HeadingPairs>
    <vt:vector size="2" baseType="variant">
      <vt:variant>
        <vt:lpstr>Title</vt:lpstr>
      </vt:variant>
      <vt:variant>
        <vt:i4>1</vt:i4>
      </vt:variant>
    </vt:vector>
  </HeadingPairs>
  <TitlesOfParts>
    <vt:vector size="1" baseType="lpstr">
      <vt:lpstr>BA - SB00017 (Committee Report (Substituted))</vt:lpstr>
    </vt:vector>
  </TitlesOfParts>
  <Company>State of Texas</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30432</dc:subject>
  <dc:creator>State of Texas</dc:creator>
  <dc:description>SB 17 by Creighton-(H)Higher Education (Substitute Document Number: 88R 29956)</dc:description>
  <cp:lastModifiedBy>Alan Gonzalez Otero</cp:lastModifiedBy>
  <cp:revision>2</cp:revision>
  <cp:lastPrinted>2003-11-26T17:21:00Z</cp:lastPrinted>
  <dcterms:created xsi:type="dcterms:W3CDTF">2023-05-15T23:39:00Z</dcterms:created>
  <dcterms:modified xsi:type="dcterms:W3CDTF">2023-05-15T23:39:00Z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23.135.61</vt:lpwstr>
  </property>
</Properties>
</file>