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3B25" w14:paraId="34ED6C07" w14:textId="77777777" w:rsidTr="00345119">
        <w:tc>
          <w:tcPr>
            <w:tcW w:w="9576" w:type="dxa"/>
            <w:noWrap/>
          </w:tcPr>
          <w:p w14:paraId="179E74A4" w14:textId="77777777" w:rsidR="008423E4" w:rsidRPr="0022177D" w:rsidRDefault="00DC0F87" w:rsidP="000A04AC">
            <w:pPr>
              <w:pStyle w:val="Heading1"/>
            </w:pPr>
            <w:r w:rsidRPr="00631897">
              <w:t>BILL ANALYSIS</w:t>
            </w:r>
          </w:p>
        </w:tc>
      </w:tr>
    </w:tbl>
    <w:p w14:paraId="13562814" w14:textId="77777777" w:rsidR="008423E4" w:rsidRPr="0022177D" w:rsidRDefault="008423E4" w:rsidP="000A04AC">
      <w:pPr>
        <w:jc w:val="center"/>
      </w:pPr>
    </w:p>
    <w:p w14:paraId="6B4C5171" w14:textId="77777777" w:rsidR="008423E4" w:rsidRPr="00B31F0E" w:rsidRDefault="008423E4" w:rsidP="000A04AC"/>
    <w:p w14:paraId="69DD5582" w14:textId="77777777" w:rsidR="008423E4" w:rsidRPr="00742794" w:rsidRDefault="008423E4" w:rsidP="000A04A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3B25" w14:paraId="367E9E9F" w14:textId="77777777" w:rsidTr="00345119">
        <w:tc>
          <w:tcPr>
            <w:tcW w:w="9576" w:type="dxa"/>
          </w:tcPr>
          <w:p w14:paraId="6B2646FF" w14:textId="013A4CE1" w:rsidR="008423E4" w:rsidRPr="00861995" w:rsidRDefault="00DC0F87" w:rsidP="000A04AC">
            <w:pPr>
              <w:jc w:val="right"/>
            </w:pPr>
            <w:r>
              <w:t>C.S.S.B. 29</w:t>
            </w:r>
          </w:p>
        </w:tc>
      </w:tr>
      <w:tr w:rsidR="00D73B25" w14:paraId="0D8B5FC3" w14:textId="77777777" w:rsidTr="00345119">
        <w:tc>
          <w:tcPr>
            <w:tcW w:w="9576" w:type="dxa"/>
          </w:tcPr>
          <w:p w14:paraId="32980883" w14:textId="008182CA" w:rsidR="008423E4" w:rsidRPr="00861995" w:rsidRDefault="00DC0F87" w:rsidP="000A04AC">
            <w:pPr>
              <w:jc w:val="right"/>
            </w:pPr>
            <w:r>
              <w:t xml:space="preserve">By: </w:t>
            </w:r>
            <w:r w:rsidR="00D92E01">
              <w:t>Birdwell</w:t>
            </w:r>
          </w:p>
        </w:tc>
      </w:tr>
      <w:tr w:rsidR="00D73B25" w14:paraId="1A458F9A" w14:textId="77777777" w:rsidTr="00345119">
        <w:tc>
          <w:tcPr>
            <w:tcW w:w="9576" w:type="dxa"/>
          </w:tcPr>
          <w:p w14:paraId="36E56AF8" w14:textId="793BACBA" w:rsidR="008423E4" w:rsidRPr="00861995" w:rsidRDefault="00DC0F87" w:rsidP="000A04AC">
            <w:pPr>
              <w:jc w:val="right"/>
            </w:pPr>
            <w:r>
              <w:t>State Affairs</w:t>
            </w:r>
          </w:p>
        </w:tc>
      </w:tr>
      <w:tr w:rsidR="00D73B25" w14:paraId="7418846B" w14:textId="77777777" w:rsidTr="00345119">
        <w:tc>
          <w:tcPr>
            <w:tcW w:w="9576" w:type="dxa"/>
          </w:tcPr>
          <w:p w14:paraId="79A2C2CF" w14:textId="268C24BB" w:rsidR="008423E4" w:rsidRDefault="00DC0F87" w:rsidP="000A04AC">
            <w:pPr>
              <w:jc w:val="right"/>
            </w:pPr>
            <w:r>
              <w:t>Committee Report (Substituted)</w:t>
            </w:r>
          </w:p>
        </w:tc>
      </w:tr>
    </w:tbl>
    <w:p w14:paraId="6B9CFB93" w14:textId="77777777" w:rsidR="008423E4" w:rsidRDefault="008423E4" w:rsidP="000A04AC">
      <w:pPr>
        <w:tabs>
          <w:tab w:val="right" w:pos="9360"/>
        </w:tabs>
      </w:pPr>
    </w:p>
    <w:p w14:paraId="006C163D" w14:textId="77777777" w:rsidR="008423E4" w:rsidRDefault="008423E4" w:rsidP="000A04AC"/>
    <w:p w14:paraId="4D9DE1EC" w14:textId="77777777" w:rsidR="008423E4" w:rsidRDefault="008423E4" w:rsidP="000A04A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3B25" w14:paraId="13473C97" w14:textId="77777777" w:rsidTr="00345119">
        <w:tc>
          <w:tcPr>
            <w:tcW w:w="9576" w:type="dxa"/>
          </w:tcPr>
          <w:p w14:paraId="3CF10AAE" w14:textId="77777777" w:rsidR="008423E4" w:rsidRPr="00A8133F" w:rsidRDefault="00DC0F87" w:rsidP="000A04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338264" w14:textId="77777777" w:rsidR="008423E4" w:rsidRDefault="008423E4" w:rsidP="000A04AC"/>
          <w:p w14:paraId="011DED41" w14:textId="31211703" w:rsidR="008423E4" w:rsidRPr="00D53FC1" w:rsidRDefault="00DC0F87" w:rsidP="000A04AC">
            <w:pPr>
              <w:pStyle w:val="Header"/>
              <w:jc w:val="both"/>
            </w:pPr>
            <w:r w:rsidRPr="00AF3802">
              <w:t xml:space="preserve">Some local governments throughout the nation continue to limit individual freedom by enacting COVID-19-related mandates and </w:t>
            </w:r>
            <w:r w:rsidRPr="00AF3802">
              <w:t>restrictions three years after the pandemic began.</w:t>
            </w:r>
            <w:r w:rsidRPr="00D23C78">
              <w:t xml:space="preserve"> For instance, </w:t>
            </w:r>
            <w:r w:rsidRPr="00D53FC1">
              <w:t>the Philadelphia School District re</w:t>
            </w:r>
            <w:r w:rsidR="005146B5">
              <w:t>-</w:t>
            </w:r>
            <w:r w:rsidRPr="00D53FC1">
              <w:t xml:space="preserve">implemented a mask mandate in early 2023 and </w:t>
            </w:r>
            <w:r w:rsidR="00A1228F" w:rsidRPr="00D53FC1">
              <w:t>Washington</w:t>
            </w:r>
            <w:r w:rsidR="005146B5">
              <w:t>,</w:t>
            </w:r>
            <w:r w:rsidR="00A1228F">
              <w:t> </w:t>
            </w:r>
            <w:r w:rsidRPr="00D53FC1">
              <w:t>D.C.</w:t>
            </w:r>
            <w:r w:rsidR="005146B5">
              <w:t>,</w:t>
            </w:r>
            <w:r w:rsidRPr="00D53FC1">
              <w:t xml:space="preserve"> mandated </w:t>
            </w:r>
            <w:r w:rsidR="0095273F">
              <w:t xml:space="preserve">that </w:t>
            </w:r>
            <w:r w:rsidRPr="00D53FC1">
              <w:t>certain students receive a COVID-19 vaccine to attend school during the 2022-</w:t>
            </w:r>
            <w:r w:rsidR="007B4B4A">
              <w:t>20</w:t>
            </w:r>
            <w:r w:rsidRPr="00D53FC1">
              <w:t xml:space="preserve">23 school year. </w:t>
            </w:r>
            <w:r w:rsidR="00AF3802" w:rsidRPr="00AF3802">
              <w:t>The legislature can defend individual freedoms and prevent local governments from abusing their authority by codifying the protections in Governor Abbott</w:t>
            </w:r>
            <w:r w:rsidR="00AF3802">
              <w:t>'</w:t>
            </w:r>
            <w:r w:rsidR="00AF3802" w:rsidRPr="00AF3802">
              <w:t xml:space="preserve">s executive orders banning local governments from implementing </w:t>
            </w:r>
            <w:r w:rsidR="00AF3802">
              <w:t xml:space="preserve">COVID-19 </w:t>
            </w:r>
            <w:r w:rsidR="00AF3802" w:rsidRPr="00AF3802">
              <w:t xml:space="preserve">mask and vaccine mandates and </w:t>
            </w:r>
            <w:r w:rsidR="00AF3802">
              <w:t xml:space="preserve">from issuing orders </w:t>
            </w:r>
            <w:r w:rsidR="00AF3802" w:rsidRPr="00AF3802">
              <w:t>shutting down businesses and schools because of COVID-19.</w:t>
            </w:r>
            <w:r w:rsidR="00AF3802">
              <w:t xml:space="preserve"> C.S.S.B. 29 seeks to do so, with certain limited exceptions.</w:t>
            </w:r>
          </w:p>
          <w:p w14:paraId="74238F8E" w14:textId="77777777" w:rsidR="008423E4" w:rsidRPr="00E26B13" w:rsidRDefault="008423E4" w:rsidP="000A04AC">
            <w:pPr>
              <w:rPr>
                <w:b/>
              </w:rPr>
            </w:pPr>
          </w:p>
        </w:tc>
      </w:tr>
      <w:tr w:rsidR="00D73B25" w14:paraId="11BE65F7" w14:textId="77777777" w:rsidTr="00345119">
        <w:tc>
          <w:tcPr>
            <w:tcW w:w="9576" w:type="dxa"/>
          </w:tcPr>
          <w:p w14:paraId="2EEC3191" w14:textId="77777777" w:rsidR="0017725B" w:rsidRDefault="00DC0F87" w:rsidP="000A0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3650CF" w14:textId="77777777" w:rsidR="0017725B" w:rsidRDefault="0017725B" w:rsidP="000A04AC">
            <w:pPr>
              <w:rPr>
                <w:b/>
                <w:u w:val="single"/>
              </w:rPr>
            </w:pPr>
          </w:p>
          <w:p w14:paraId="4EEF9E59" w14:textId="599A9366" w:rsidR="00647366" w:rsidRPr="00647366" w:rsidRDefault="00DC0F87" w:rsidP="000A04AC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52AB53E5" w14:textId="77777777" w:rsidR="0017725B" w:rsidRPr="0017725B" w:rsidRDefault="0017725B" w:rsidP="000A04AC">
            <w:pPr>
              <w:rPr>
                <w:b/>
                <w:u w:val="single"/>
              </w:rPr>
            </w:pPr>
          </w:p>
        </w:tc>
      </w:tr>
      <w:tr w:rsidR="00D73B25" w14:paraId="127D4B87" w14:textId="77777777" w:rsidTr="00345119">
        <w:tc>
          <w:tcPr>
            <w:tcW w:w="9576" w:type="dxa"/>
          </w:tcPr>
          <w:p w14:paraId="505A6C2D" w14:textId="77777777" w:rsidR="008423E4" w:rsidRPr="00A8133F" w:rsidRDefault="00DC0F87" w:rsidP="000A04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F4E413" w14:textId="77777777" w:rsidR="008423E4" w:rsidRDefault="008423E4" w:rsidP="000A04AC"/>
          <w:p w14:paraId="4B99B8AC" w14:textId="634E7879" w:rsidR="00647366" w:rsidRDefault="00DC0F87" w:rsidP="000A04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17D64762" w14:textId="77777777" w:rsidR="008423E4" w:rsidRPr="00E21FDC" w:rsidRDefault="008423E4" w:rsidP="000A04AC">
            <w:pPr>
              <w:rPr>
                <w:b/>
              </w:rPr>
            </w:pPr>
          </w:p>
        </w:tc>
      </w:tr>
      <w:tr w:rsidR="00D73B25" w14:paraId="5037D7AF" w14:textId="77777777" w:rsidTr="00345119">
        <w:tc>
          <w:tcPr>
            <w:tcW w:w="9576" w:type="dxa"/>
          </w:tcPr>
          <w:p w14:paraId="6BC7341C" w14:textId="77777777" w:rsidR="008423E4" w:rsidRPr="00A8133F" w:rsidRDefault="00DC0F87" w:rsidP="000A04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270D9B" w14:textId="77777777" w:rsidR="008423E4" w:rsidRDefault="008423E4" w:rsidP="000A04AC"/>
          <w:p w14:paraId="649C9925" w14:textId="162D3496" w:rsidR="0021120D" w:rsidRDefault="00DC0F87" w:rsidP="000A04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29 </w:t>
            </w:r>
            <w:r w:rsidR="00B21049">
              <w:t xml:space="preserve">amends the Health and Safety Code </w:t>
            </w:r>
            <w:r>
              <w:t xml:space="preserve">to </w:t>
            </w:r>
            <w:r w:rsidR="00B21049">
              <w:t xml:space="preserve">prohibit </w:t>
            </w:r>
            <w:r>
              <w:t xml:space="preserve">the state, </w:t>
            </w:r>
            <w:r w:rsidR="00B21049">
              <w:t>a</w:t>
            </w:r>
            <w:r>
              <w:t xml:space="preserve"> local</w:t>
            </w:r>
            <w:r w:rsidR="00B21049">
              <w:t xml:space="preserve"> government entity</w:t>
            </w:r>
            <w:r>
              <w:t xml:space="preserve">, </w:t>
            </w:r>
            <w:r w:rsidR="00260CA8">
              <w:t>an open-enrollment charter</w:t>
            </w:r>
            <w:r w:rsidR="003F770E">
              <w:t xml:space="preserve"> school</w:t>
            </w:r>
            <w:r w:rsidR="00260CA8">
              <w:t xml:space="preserve">, </w:t>
            </w:r>
            <w:r>
              <w:t>or a</w:t>
            </w:r>
            <w:r w:rsidR="003F770E">
              <w:t>n</w:t>
            </w:r>
            <w:r>
              <w:t xml:space="preserve"> agency of the state</w:t>
            </w:r>
            <w:r w:rsidR="00D33E8B">
              <w:t xml:space="preserve"> or</w:t>
            </w:r>
            <w:r>
              <w:t xml:space="preserve"> </w:t>
            </w:r>
            <w:r w:rsidR="00260CA8">
              <w:t xml:space="preserve">such </w:t>
            </w:r>
            <w:r>
              <w:t>a local government entity</w:t>
            </w:r>
            <w:r w:rsidR="00D33E8B">
              <w:t xml:space="preserve"> </w:t>
            </w:r>
            <w:r w:rsidR="00B21049">
              <w:t>from implementing, ordering, or otherwise imposing a</w:t>
            </w:r>
            <w:r>
              <w:t>ny of the following</w:t>
            </w:r>
            <w:r w:rsidR="00B21049">
              <w:t xml:space="preserve"> mandate</w:t>
            </w:r>
            <w:r>
              <w:t>s to prevent the spread of COVID-19:</w:t>
            </w:r>
          </w:p>
          <w:p w14:paraId="26A06CF6" w14:textId="4E2A1E05" w:rsidR="0021120D" w:rsidRDefault="00DC0F87" w:rsidP="000A04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mandate requiring</w:t>
            </w:r>
            <w:r w:rsidR="00164F8B">
              <w:t xml:space="preserve"> a</w:t>
            </w:r>
            <w:r w:rsidR="00B21049">
              <w:t xml:space="preserve"> </w:t>
            </w:r>
            <w:r>
              <w:t xml:space="preserve">person to wear a </w:t>
            </w:r>
            <w:r w:rsidR="00164F8B">
              <w:t xml:space="preserve">mask </w:t>
            </w:r>
            <w:r>
              <w:t>or o</w:t>
            </w:r>
            <w:r>
              <w:t>ther face covering;</w:t>
            </w:r>
            <w:r w:rsidR="00B21049">
              <w:t xml:space="preserve"> </w:t>
            </w:r>
          </w:p>
          <w:p w14:paraId="3D1DB778" w14:textId="614C5052" w:rsidR="0021120D" w:rsidRDefault="00DC0F87" w:rsidP="000A04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mandat</w:t>
            </w:r>
            <w:r w:rsidR="003F770E">
              <w:t>e</w:t>
            </w:r>
            <w:r>
              <w:t xml:space="preserve"> requiring a person to be vaccinated</w:t>
            </w:r>
            <w:r w:rsidR="00164F8B">
              <w:t xml:space="preserve"> </w:t>
            </w:r>
            <w:r>
              <w:t>against COVID-19</w:t>
            </w:r>
            <w:r w:rsidR="001C55D7">
              <w:t>,</w:t>
            </w:r>
            <w:r w:rsidR="005F25BA">
              <w:t xml:space="preserve"> to the extent that the prohibition does not conflict with the final rule adopted by the </w:t>
            </w:r>
            <w:r w:rsidR="001C55D7">
              <w:t xml:space="preserve">federal </w:t>
            </w:r>
            <w:r w:rsidR="005F25BA">
              <w:t>Centers for Medicare and Medicaid Services</w:t>
            </w:r>
            <w:r w:rsidR="00773433">
              <w:t xml:space="preserve"> (CMS)</w:t>
            </w:r>
            <w:r w:rsidR="001C55D7">
              <w:t xml:space="preserve"> </w:t>
            </w:r>
            <w:r w:rsidR="001C55D7" w:rsidRPr="00D3432A">
              <w:t>and published at 86 Fed. Reg. 61555 (November 5, 2021)</w:t>
            </w:r>
            <w:r w:rsidRPr="001C55D7">
              <w:t>;</w:t>
            </w:r>
            <w:r>
              <w:t xml:space="preserve"> or</w:t>
            </w:r>
          </w:p>
          <w:p w14:paraId="1C57C52E" w14:textId="77777777" w:rsidR="00D92E01" w:rsidRDefault="00DC0F87" w:rsidP="000A04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mandate </w:t>
            </w:r>
            <w:r w:rsidR="00164F8B">
              <w:t>requir</w:t>
            </w:r>
            <w:r>
              <w:t>ing</w:t>
            </w:r>
            <w:r w:rsidR="00B21049">
              <w:t xml:space="preserve"> </w:t>
            </w:r>
            <w:r>
              <w:t xml:space="preserve">the closure of a </w:t>
            </w:r>
            <w:r w:rsidR="00647366">
              <w:t>private business</w:t>
            </w:r>
            <w:r>
              <w:t>,</w:t>
            </w:r>
            <w:r w:rsidR="00647366">
              <w:t xml:space="preserve"> </w:t>
            </w:r>
            <w:r>
              <w:t>public or private</w:t>
            </w:r>
            <w:r w:rsidR="00647366">
              <w:t xml:space="preserve"> school</w:t>
            </w:r>
            <w:r>
              <w:t>, or open</w:t>
            </w:r>
            <w:r w:rsidR="005146B5">
              <w:noBreakHyphen/>
            </w:r>
            <w:r>
              <w:t>enrollment charter school</w:t>
            </w:r>
            <w:r w:rsidR="00647366">
              <w:t>.</w:t>
            </w:r>
          </w:p>
          <w:p w14:paraId="27328E5E" w14:textId="5F472A05" w:rsidR="00B21049" w:rsidRDefault="00DC0F87" w:rsidP="000A04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"local government entity" by reference as </w:t>
            </w:r>
            <w:r w:rsidRPr="00D92E01">
              <w:t>a county, incorporated city, independent s</w:t>
            </w:r>
            <w:r w:rsidRPr="00D92E01">
              <w:t xml:space="preserve">chool district, public junior college district, emergency services district, other special district, joint board, or other entity defined as a political subdivision under </w:t>
            </w:r>
            <w:r w:rsidR="00D15C96">
              <w:t xml:space="preserve">state </w:t>
            </w:r>
            <w:r w:rsidRPr="00D92E01">
              <w:t>law that maintains the capability to provide mutual aid.</w:t>
            </w:r>
          </w:p>
          <w:p w14:paraId="3DE33112" w14:textId="77777777" w:rsidR="00D92E01" w:rsidRDefault="00D92E01" w:rsidP="000A04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4E9BBD" w14:textId="4823DF40" w:rsidR="005F25BA" w:rsidRDefault="00DC0F87" w:rsidP="000A04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29 establish</w:t>
            </w:r>
            <w:r>
              <w:t xml:space="preserve">es that </w:t>
            </w:r>
            <w:r w:rsidR="00537494">
              <w:t>the prohibition against</w:t>
            </w:r>
            <w:r>
              <w:t xml:space="preserve"> a </w:t>
            </w:r>
            <w:r w:rsidR="00537494">
              <w:t xml:space="preserve">face-covering </w:t>
            </w:r>
            <w:r>
              <w:t xml:space="preserve">mandate does not apply to an order or mandate that relates to the following: </w:t>
            </w:r>
          </w:p>
          <w:p w14:paraId="416E56EB" w14:textId="14B1A21E" w:rsidR="005F25BA" w:rsidRDefault="00DC0F87" w:rsidP="000A04A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state supported living center, subject to any applicable rule or guidance prescribed by the</w:t>
            </w:r>
            <w:r w:rsidR="00537494">
              <w:t xml:space="preserve"> Health and Human Services</w:t>
            </w:r>
            <w:r>
              <w:t xml:space="preserve"> </w:t>
            </w:r>
            <w:r w:rsidR="00537494">
              <w:t>C</w:t>
            </w:r>
            <w:r>
              <w:t>ommission</w:t>
            </w:r>
            <w:r>
              <w:t xml:space="preserve"> that conflicts with that </w:t>
            </w:r>
            <w:r w:rsidR="00537494">
              <w:t>prohibition</w:t>
            </w:r>
            <w:r>
              <w:t>;</w:t>
            </w:r>
          </w:p>
          <w:p w14:paraId="41094219" w14:textId="0E674F47" w:rsidR="005F25BA" w:rsidRDefault="00DC0F87" w:rsidP="000A04A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facility operated by the Texas Department of Criminal Justice or the Texas Juvenile Justice Department or a municipal or county jail, subject to any applicable rule or guidance prescribed by the Commission on Jail S</w:t>
            </w:r>
            <w:r>
              <w:t>tandards that conflicts with that limitation; or</w:t>
            </w:r>
          </w:p>
          <w:p w14:paraId="2E17209E" w14:textId="7DA517AF" w:rsidR="005F25BA" w:rsidRPr="009C36CD" w:rsidRDefault="00DC0F87" w:rsidP="000A04A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 hospital or other health care facility owned by a governmental entity, including a hospital or other health care clinic operated by or associated with a</w:t>
            </w:r>
            <w:r w:rsidR="00773433">
              <w:t xml:space="preserve"> public</w:t>
            </w:r>
            <w:r>
              <w:t xml:space="preserve"> institution of higher education, subject to a</w:t>
            </w:r>
            <w:r>
              <w:t>ny applicable order, ordinance, or guidance prescribed by that governmental entity that conflicts with that limitation.</w:t>
            </w:r>
          </w:p>
          <w:p w14:paraId="6F8158C8" w14:textId="77777777" w:rsidR="008423E4" w:rsidRPr="00835628" w:rsidRDefault="008423E4" w:rsidP="000A04AC">
            <w:pPr>
              <w:rPr>
                <w:b/>
              </w:rPr>
            </w:pPr>
          </w:p>
        </w:tc>
      </w:tr>
      <w:tr w:rsidR="00D73B25" w14:paraId="47F8877B" w14:textId="77777777" w:rsidTr="00345119">
        <w:tc>
          <w:tcPr>
            <w:tcW w:w="9576" w:type="dxa"/>
          </w:tcPr>
          <w:p w14:paraId="095A2520" w14:textId="77777777" w:rsidR="008423E4" w:rsidRPr="00A8133F" w:rsidRDefault="00DC0F87" w:rsidP="000A04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24EFA37" w14:textId="77777777" w:rsidR="008423E4" w:rsidRDefault="008423E4" w:rsidP="000A04AC"/>
          <w:p w14:paraId="0AE1F5A9" w14:textId="47F05772" w:rsidR="008423E4" w:rsidRPr="003624F2" w:rsidRDefault="00DC0F87" w:rsidP="000A04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199A1A88" w14:textId="77777777" w:rsidR="008423E4" w:rsidRPr="00233FDB" w:rsidRDefault="008423E4" w:rsidP="000A04AC">
            <w:pPr>
              <w:rPr>
                <w:b/>
              </w:rPr>
            </w:pPr>
          </w:p>
        </w:tc>
      </w:tr>
      <w:tr w:rsidR="00D73B25" w14:paraId="0BA9BF69" w14:textId="77777777" w:rsidTr="00345119">
        <w:tc>
          <w:tcPr>
            <w:tcW w:w="9576" w:type="dxa"/>
          </w:tcPr>
          <w:p w14:paraId="7593DF36" w14:textId="77777777" w:rsidR="00D92E01" w:rsidRDefault="00DC0F87" w:rsidP="000A04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>
              <w:rPr>
                <w:b/>
                <w:u w:val="single"/>
              </w:rPr>
              <w:t>ENGROSSED AND SUBSTITUTE</w:t>
            </w:r>
          </w:p>
          <w:p w14:paraId="61372220" w14:textId="77777777" w:rsidR="004818FC" w:rsidRDefault="004818FC" w:rsidP="000A04AC">
            <w:pPr>
              <w:jc w:val="both"/>
              <w:rPr>
                <w:b/>
                <w:u w:val="single"/>
              </w:rPr>
            </w:pPr>
          </w:p>
          <w:p w14:paraId="770A1726" w14:textId="77777777" w:rsidR="00D15C96" w:rsidRDefault="00DC0F87" w:rsidP="000A04AC">
            <w:pPr>
              <w:jc w:val="both"/>
            </w:pPr>
            <w:r>
              <w:t>While C.S.S.B. 29 may differ from the engrossed in minor or nonsubstantive ways, the following summarizes the substantial differences between the engrossed and committee substitute versions of the bill.</w:t>
            </w:r>
          </w:p>
          <w:p w14:paraId="5926F674" w14:textId="77777777" w:rsidR="00D15C96" w:rsidRDefault="00D15C96" w:rsidP="000A04AC">
            <w:pPr>
              <w:jc w:val="both"/>
            </w:pPr>
          </w:p>
          <w:p w14:paraId="46C99E7A" w14:textId="77777777" w:rsidR="00D15C96" w:rsidRDefault="00DC0F87" w:rsidP="000A04AC">
            <w:pPr>
              <w:jc w:val="both"/>
            </w:pPr>
            <w:r>
              <w:t>The substitute includes ce</w:t>
            </w:r>
            <w:r>
              <w:t xml:space="preserve">rtain exceptions to the prohibition against a COVID-19 face-covering mandate, whereas the engrossed provided no such exceptions. </w:t>
            </w:r>
          </w:p>
          <w:p w14:paraId="3FD17C19" w14:textId="77777777" w:rsidR="00D15C96" w:rsidRDefault="00D15C96" w:rsidP="000A04AC">
            <w:pPr>
              <w:jc w:val="both"/>
            </w:pPr>
          </w:p>
          <w:p w14:paraId="62929363" w14:textId="77777777" w:rsidR="00D15C96" w:rsidRDefault="00DC0F87" w:rsidP="000A04AC">
            <w:pPr>
              <w:jc w:val="both"/>
            </w:pPr>
            <w:r>
              <w:t>The substitute includes a provision not in the engrossed establishing that the prohibition against a COVID-19 vaccine mandate</w:t>
            </w:r>
            <w:r>
              <w:t xml:space="preserve"> applies only to the extent that prohibition does not conflict with a certain final rule adopted by CMS. </w:t>
            </w:r>
          </w:p>
          <w:p w14:paraId="2C2D21AC" w14:textId="77777777" w:rsidR="00D15C96" w:rsidRDefault="00D15C96" w:rsidP="000A04AC">
            <w:pPr>
              <w:jc w:val="both"/>
            </w:pPr>
          </w:p>
          <w:p w14:paraId="1FF4C156" w14:textId="5A717BC1" w:rsidR="00D15C96" w:rsidRPr="00D92E01" w:rsidRDefault="00DC0F87" w:rsidP="000A04AC">
            <w:pPr>
              <w:jc w:val="both"/>
              <w:rPr>
                <w:b/>
                <w:u w:val="single"/>
              </w:rPr>
            </w:pPr>
            <w:r>
              <w:t>The substitute includes an open-enrollment charter school among the governmental entities subject to the prohibitions set out by the bill, whereas th</w:t>
            </w:r>
            <w:r>
              <w:t>e engrossed did not.</w:t>
            </w:r>
          </w:p>
        </w:tc>
      </w:tr>
      <w:tr w:rsidR="00D73B25" w14:paraId="680E5DD3" w14:textId="77777777" w:rsidTr="00345119">
        <w:tc>
          <w:tcPr>
            <w:tcW w:w="9576" w:type="dxa"/>
          </w:tcPr>
          <w:p w14:paraId="28F2074A" w14:textId="77777777" w:rsidR="00E8341F" w:rsidRPr="009C1E9A" w:rsidRDefault="00E8341F" w:rsidP="000A04AC">
            <w:pPr>
              <w:rPr>
                <w:b/>
                <w:u w:val="single"/>
              </w:rPr>
            </w:pPr>
          </w:p>
        </w:tc>
      </w:tr>
      <w:tr w:rsidR="00D73B25" w14:paraId="30A82D50" w14:textId="77777777" w:rsidTr="00345119">
        <w:tc>
          <w:tcPr>
            <w:tcW w:w="9576" w:type="dxa"/>
          </w:tcPr>
          <w:p w14:paraId="46D33BC1" w14:textId="77777777" w:rsidR="00E8341F" w:rsidRPr="00D92E01" w:rsidRDefault="00E8341F" w:rsidP="000A04AC">
            <w:pPr>
              <w:jc w:val="both"/>
            </w:pPr>
          </w:p>
        </w:tc>
      </w:tr>
      <w:tr w:rsidR="00D73B25" w14:paraId="6733D399" w14:textId="77777777" w:rsidTr="00345119">
        <w:tc>
          <w:tcPr>
            <w:tcW w:w="9576" w:type="dxa"/>
          </w:tcPr>
          <w:p w14:paraId="6C4326C9" w14:textId="77777777" w:rsidR="00D92E01" w:rsidRPr="00E8341F" w:rsidRDefault="00D92E01" w:rsidP="000A04AC">
            <w:pPr>
              <w:jc w:val="both"/>
            </w:pPr>
          </w:p>
        </w:tc>
      </w:tr>
      <w:tr w:rsidR="00D73B25" w14:paraId="73FE3CCC" w14:textId="77777777" w:rsidTr="00345119">
        <w:tc>
          <w:tcPr>
            <w:tcW w:w="9576" w:type="dxa"/>
          </w:tcPr>
          <w:p w14:paraId="7FA4E550" w14:textId="77777777" w:rsidR="00D92E01" w:rsidRPr="00E8341F" w:rsidRDefault="00D92E01" w:rsidP="000A04AC">
            <w:pPr>
              <w:jc w:val="both"/>
            </w:pPr>
          </w:p>
        </w:tc>
      </w:tr>
      <w:tr w:rsidR="00D73B25" w14:paraId="6E735419" w14:textId="77777777" w:rsidTr="00345119">
        <w:tc>
          <w:tcPr>
            <w:tcW w:w="9576" w:type="dxa"/>
          </w:tcPr>
          <w:p w14:paraId="7AAA32FF" w14:textId="77777777" w:rsidR="00D92E01" w:rsidRPr="00E8341F" w:rsidRDefault="00D92E01" w:rsidP="000A04AC">
            <w:pPr>
              <w:jc w:val="both"/>
            </w:pPr>
          </w:p>
        </w:tc>
      </w:tr>
    </w:tbl>
    <w:p w14:paraId="24725CBE" w14:textId="77777777" w:rsidR="008423E4" w:rsidRPr="00BE0E75" w:rsidRDefault="008423E4" w:rsidP="000A04AC">
      <w:pPr>
        <w:jc w:val="both"/>
        <w:rPr>
          <w:rFonts w:ascii="Arial" w:hAnsi="Arial"/>
          <w:sz w:val="16"/>
          <w:szCs w:val="16"/>
        </w:rPr>
      </w:pPr>
    </w:p>
    <w:p w14:paraId="525C9D72" w14:textId="77777777" w:rsidR="004108C3" w:rsidRPr="008423E4" w:rsidRDefault="004108C3" w:rsidP="000A04A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3BAC" w14:textId="77777777" w:rsidR="00000000" w:rsidRDefault="00DC0F87">
      <w:r>
        <w:separator/>
      </w:r>
    </w:p>
  </w:endnote>
  <w:endnote w:type="continuationSeparator" w:id="0">
    <w:p w14:paraId="396E1282" w14:textId="77777777" w:rsidR="00000000" w:rsidRDefault="00DC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AF45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3B25" w14:paraId="181B020E" w14:textId="77777777" w:rsidTr="009C1E9A">
      <w:trPr>
        <w:cantSplit/>
      </w:trPr>
      <w:tc>
        <w:tcPr>
          <w:tcW w:w="0" w:type="pct"/>
        </w:tcPr>
        <w:p w14:paraId="0454CE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7BEE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6F7AD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C789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0244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B25" w14:paraId="6B732968" w14:textId="77777777" w:rsidTr="009C1E9A">
      <w:trPr>
        <w:cantSplit/>
      </w:trPr>
      <w:tc>
        <w:tcPr>
          <w:tcW w:w="0" w:type="pct"/>
        </w:tcPr>
        <w:p w14:paraId="5F2A91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14217D" w14:textId="650E19FD" w:rsidR="00EC379B" w:rsidRPr="009C1E9A" w:rsidRDefault="00DC0F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31857-D</w:t>
          </w:r>
        </w:p>
      </w:tc>
      <w:tc>
        <w:tcPr>
          <w:tcW w:w="2453" w:type="pct"/>
        </w:tcPr>
        <w:p w14:paraId="4255AA4D" w14:textId="0B7CAA24" w:rsidR="00EC379B" w:rsidRDefault="00DC0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479BD">
            <w:t>23.139.1854</w:t>
          </w:r>
          <w:r>
            <w:fldChar w:fldCharType="end"/>
          </w:r>
        </w:p>
      </w:tc>
    </w:tr>
    <w:tr w:rsidR="00D73B25" w14:paraId="03DFE290" w14:textId="77777777" w:rsidTr="009C1E9A">
      <w:trPr>
        <w:cantSplit/>
      </w:trPr>
      <w:tc>
        <w:tcPr>
          <w:tcW w:w="0" w:type="pct"/>
        </w:tcPr>
        <w:p w14:paraId="3C08680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8BA817" w14:textId="1C1DB938" w:rsidR="00EC379B" w:rsidRPr="009C1E9A" w:rsidRDefault="00DC0F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29518</w:t>
          </w:r>
        </w:p>
      </w:tc>
      <w:tc>
        <w:tcPr>
          <w:tcW w:w="2453" w:type="pct"/>
        </w:tcPr>
        <w:p w14:paraId="6DBC422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4213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B25" w14:paraId="098DF30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F034F95" w14:textId="77777777" w:rsidR="00EC379B" w:rsidRDefault="00DC0F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10D3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B1D36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6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D9BD" w14:textId="77777777" w:rsidR="00000000" w:rsidRDefault="00DC0F87">
      <w:r>
        <w:separator/>
      </w:r>
    </w:p>
  </w:footnote>
  <w:footnote w:type="continuationSeparator" w:id="0">
    <w:p w14:paraId="65F766B6" w14:textId="77777777" w:rsidR="00000000" w:rsidRDefault="00DC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9F2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732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2688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B2B"/>
    <w:multiLevelType w:val="hybridMultilevel"/>
    <w:tmpl w:val="DB26E3E8"/>
    <w:lvl w:ilvl="0" w:tplc="85BA9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8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4D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0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A6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48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8E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2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1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8CB"/>
    <w:multiLevelType w:val="hybridMultilevel"/>
    <w:tmpl w:val="C8064614"/>
    <w:lvl w:ilvl="0" w:tplc="BCEAF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80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C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CC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A2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41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B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A3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20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33231">
    <w:abstractNumId w:val="1"/>
  </w:num>
  <w:num w:numId="2" w16cid:durableId="3443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4AC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F8B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5D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20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6CFE"/>
    <w:rsid w:val="0024077A"/>
    <w:rsid w:val="00241EC1"/>
    <w:rsid w:val="002431DA"/>
    <w:rsid w:val="0024691D"/>
    <w:rsid w:val="00247D27"/>
    <w:rsid w:val="00250A50"/>
    <w:rsid w:val="00251ED5"/>
    <w:rsid w:val="00252258"/>
    <w:rsid w:val="00255EB6"/>
    <w:rsid w:val="00257429"/>
    <w:rsid w:val="00260CA8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9BD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0E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18FC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6B5"/>
    <w:rsid w:val="00515466"/>
    <w:rsid w:val="005154F7"/>
    <w:rsid w:val="005159DE"/>
    <w:rsid w:val="005269CE"/>
    <w:rsid w:val="005304B2"/>
    <w:rsid w:val="005318C9"/>
    <w:rsid w:val="005336BD"/>
    <w:rsid w:val="00534A49"/>
    <w:rsid w:val="005363BB"/>
    <w:rsid w:val="00537494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003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5BA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366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F97"/>
    <w:rsid w:val="00717739"/>
    <w:rsid w:val="00717DE4"/>
    <w:rsid w:val="007202F6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43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B4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462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273F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28F"/>
    <w:rsid w:val="00A12330"/>
    <w:rsid w:val="00A1259F"/>
    <w:rsid w:val="00A1446F"/>
    <w:rsid w:val="00A151B5"/>
    <w:rsid w:val="00A220FF"/>
    <w:rsid w:val="00A227E0"/>
    <w:rsid w:val="00A232E4"/>
    <w:rsid w:val="00A24AAD"/>
    <w:rsid w:val="00A256F6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802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1049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6C4"/>
    <w:rsid w:val="00B62106"/>
    <w:rsid w:val="00B626A8"/>
    <w:rsid w:val="00B64DFF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82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C96"/>
    <w:rsid w:val="00D22160"/>
    <w:rsid w:val="00D22172"/>
    <w:rsid w:val="00D2301B"/>
    <w:rsid w:val="00D239EE"/>
    <w:rsid w:val="00D23C78"/>
    <w:rsid w:val="00D30534"/>
    <w:rsid w:val="00D33E8B"/>
    <w:rsid w:val="00D3432A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FC1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B2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E01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F87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41F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0ED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477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B9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B6FB2A-B092-48E8-B2C5-6622C86A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73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7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73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366"/>
    <w:rPr>
      <w:b/>
      <w:bCs/>
    </w:rPr>
  </w:style>
  <w:style w:type="paragraph" w:styleId="Revision">
    <w:name w:val="Revision"/>
    <w:hidden/>
    <w:uiPriority w:val="99"/>
    <w:semiHidden/>
    <w:rsid w:val="0021120D"/>
    <w:rPr>
      <w:sz w:val="24"/>
      <w:szCs w:val="24"/>
    </w:rPr>
  </w:style>
  <w:style w:type="character" w:styleId="Hyperlink">
    <w:name w:val="Hyperlink"/>
    <w:basedOn w:val="DefaultParagraphFont"/>
    <w:unhideWhenUsed/>
    <w:rsid w:val="00D53F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3660</Characters>
  <Application>Microsoft Office Word</Application>
  <DocSecurity>4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SB00029 (Committee Report (Substituted))</vt:lpstr>
    </vt:vector>
  </TitlesOfParts>
  <Company>State of Texas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31857</dc:subject>
  <dc:creator>State of Texas</dc:creator>
  <dc:description>SB 29 by Birdwell-(H)State Affairs (Substitute Document Number: 88R 29518)</dc:description>
  <cp:lastModifiedBy>Damian Duarte</cp:lastModifiedBy>
  <cp:revision>2</cp:revision>
  <cp:lastPrinted>2003-11-26T17:21:00Z</cp:lastPrinted>
  <dcterms:created xsi:type="dcterms:W3CDTF">2023-05-20T01:41:00Z</dcterms:created>
  <dcterms:modified xsi:type="dcterms:W3CDTF">2023-05-20T01:41:00Z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23.139.1854</vt:lpwstr>
  </property>
</Properties>
</file>