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529DC" w14:paraId="7A22941D" w14:textId="77777777" w:rsidTr="00345119">
        <w:tc>
          <w:tcPr>
            <w:tcW w:w="9576" w:type="dxa"/>
            <w:noWrap/>
          </w:tcPr>
          <w:p w14:paraId="2FFF8F20" w14:textId="77777777" w:rsidR="008423E4" w:rsidRPr="0022177D" w:rsidRDefault="00803EA3" w:rsidP="005F6DF3">
            <w:pPr>
              <w:pStyle w:val="Heading1"/>
            </w:pPr>
            <w:r w:rsidRPr="00631897">
              <w:t>BILL ANALYSIS</w:t>
            </w:r>
          </w:p>
        </w:tc>
      </w:tr>
    </w:tbl>
    <w:p w14:paraId="1B992668" w14:textId="77777777" w:rsidR="008423E4" w:rsidRPr="0022177D" w:rsidRDefault="008423E4" w:rsidP="005F6DF3">
      <w:pPr>
        <w:jc w:val="center"/>
      </w:pPr>
    </w:p>
    <w:p w14:paraId="5D631FA6" w14:textId="77777777" w:rsidR="008423E4" w:rsidRPr="00B31F0E" w:rsidRDefault="008423E4" w:rsidP="005F6DF3"/>
    <w:p w14:paraId="3EC2022A" w14:textId="77777777" w:rsidR="008423E4" w:rsidRPr="00742794" w:rsidRDefault="008423E4" w:rsidP="005F6DF3">
      <w:pPr>
        <w:tabs>
          <w:tab w:val="right" w:pos="9360"/>
        </w:tabs>
      </w:pPr>
    </w:p>
    <w:tbl>
      <w:tblPr>
        <w:tblW w:w="0" w:type="auto"/>
        <w:tblLayout w:type="fixed"/>
        <w:tblLook w:val="01E0" w:firstRow="1" w:lastRow="1" w:firstColumn="1" w:lastColumn="1" w:noHBand="0" w:noVBand="0"/>
      </w:tblPr>
      <w:tblGrid>
        <w:gridCol w:w="9576"/>
      </w:tblGrid>
      <w:tr w:rsidR="006529DC" w14:paraId="48115699" w14:textId="77777777" w:rsidTr="00345119">
        <w:tc>
          <w:tcPr>
            <w:tcW w:w="9576" w:type="dxa"/>
          </w:tcPr>
          <w:p w14:paraId="33D9DD73" w14:textId="7A5C51A3" w:rsidR="008423E4" w:rsidRPr="00861995" w:rsidRDefault="00803EA3" w:rsidP="005F6DF3">
            <w:pPr>
              <w:jc w:val="right"/>
            </w:pPr>
            <w:r>
              <w:t>C.S.S.B. 114</w:t>
            </w:r>
          </w:p>
        </w:tc>
      </w:tr>
      <w:tr w:rsidR="006529DC" w14:paraId="54C63AA0" w14:textId="77777777" w:rsidTr="00345119">
        <w:tc>
          <w:tcPr>
            <w:tcW w:w="9576" w:type="dxa"/>
          </w:tcPr>
          <w:p w14:paraId="5C3412E8" w14:textId="30E04690" w:rsidR="008423E4" w:rsidRPr="00861995" w:rsidRDefault="00803EA3" w:rsidP="005F6DF3">
            <w:pPr>
              <w:jc w:val="right"/>
            </w:pPr>
            <w:r>
              <w:t xml:space="preserve">By: </w:t>
            </w:r>
            <w:r w:rsidR="00AE7CBF">
              <w:t>Menéndez</w:t>
            </w:r>
          </w:p>
        </w:tc>
      </w:tr>
      <w:tr w:rsidR="006529DC" w14:paraId="211A1B36" w14:textId="77777777" w:rsidTr="00345119">
        <w:tc>
          <w:tcPr>
            <w:tcW w:w="9576" w:type="dxa"/>
          </w:tcPr>
          <w:p w14:paraId="53C3FEFD" w14:textId="25D635D2" w:rsidR="008423E4" w:rsidRPr="00861995" w:rsidRDefault="00803EA3" w:rsidP="005F6DF3">
            <w:pPr>
              <w:jc w:val="right"/>
            </w:pPr>
            <w:r>
              <w:t>State Affairs</w:t>
            </w:r>
          </w:p>
        </w:tc>
      </w:tr>
      <w:tr w:rsidR="006529DC" w14:paraId="70CF5525" w14:textId="77777777" w:rsidTr="00345119">
        <w:tc>
          <w:tcPr>
            <w:tcW w:w="9576" w:type="dxa"/>
          </w:tcPr>
          <w:p w14:paraId="01929E4B" w14:textId="3FB3AFA4" w:rsidR="008423E4" w:rsidRDefault="00803EA3" w:rsidP="005F6DF3">
            <w:pPr>
              <w:jc w:val="right"/>
            </w:pPr>
            <w:r>
              <w:t>Committee Report (Substituted)</w:t>
            </w:r>
          </w:p>
        </w:tc>
      </w:tr>
    </w:tbl>
    <w:p w14:paraId="5D026B98" w14:textId="77777777" w:rsidR="008423E4" w:rsidRDefault="008423E4" w:rsidP="005F6DF3">
      <w:pPr>
        <w:tabs>
          <w:tab w:val="right" w:pos="9360"/>
        </w:tabs>
      </w:pPr>
    </w:p>
    <w:p w14:paraId="40E6950A" w14:textId="77777777" w:rsidR="008423E4" w:rsidRDefault="008423E4" w:rsidP="005F6DF3"/>
    <w:p w14:paraId="68F06CE8" w14:textId="77777777" w:rsidR="008423E4" w:rsidRDefault="008423E4" w:rsidP="005F6DF3"/>
    <w:tbl>
      <w:tblPr>
        <w:tblW w:w="0" w:type="auto"/>
        <w:tblCellMar>
          <w:left w:w="115" w:type="dxa"/>
          <w:right w:w="115" w:type="dxa"/>
        </w:tblCellMar>
        <w:tblLook w:val="01E0" w:firstRow="1" w:lastRow="1" w:firstColumn="1" w:lastColumn="1" w:noHBand="0" w:noVBand="0"/>
      </w:tblPr>
      <w:tblGrid>
        <w:gridCol w:w="9360"/>
      </w:tblGrid>
      <w:tr w:rsidR="006529DC" w14:paraId="64DEE4F5" w14:textId="77777777" w:rsidTr="00537725">
        <w:tc>
          <w:tcPr>
            <w:tcW w:w="9360" w:type="dxa"/>
          </w:tcPr>
          <w:p w14:paraId="6A8EFD09" w14:textId="77777777" w:rsidR="008423E4" w:rsidRPr="00A8133F" w:rsidRDefault="00803EA3" w:rsidP="005F6DF3">
            <w:pPr>
              <w:rPr>
                <w:b/>
              </w:rPr>
            </w:pPr>
            <w:r w:rsidRPr="009C1E9A">
              <w:rPr>
                <w:b/>
                <w:u w:val="single"/>
              </w:rPr>
              <w:t>BACKGROUND AND PURPOSE</w:t>
            </w:r>
            <w:r>
              <w:rPr>
                <w:b/>
              </w:rPr>
              <w:t xml:space="preserve"> </w:t>
            </w:r>
          </w:p>
          <w:p w14:paraId="0A8E2CAC" w14:textId="77777777" w:rsidR="008423E4" w:rsidRDefault="008423E4" w:rsidP="005F6DF3"/>
          <w:p w14:paraId="53080EB9" w14:textId="597BE048" w:rsidR="00931A88" w:rsidRDefault="00803EA3" w:rsidP="005F6DF3">
            <w:pPr>
              <w:pStyle w:val="Header"/>
              <w:tabs>
                <w:tab w:val="clear" w:pos="4320"/>
                <w:tab w:val="clear" w:pos="8640"/>
              </w:tabs>
              <w:jc w:val="both"/>
            </w:pPr>
            <w:r w:rsidRPr="00931A88">
              <w:t xml:space="preserve">In February 2021, Winter Storm Uri revealed major shortcomings in </w:t>
            </w:r>
            <w:r>
              <w:t>the state's</w:t>
            </w:r>
            <w:r w:rsidRPr="00931A88">
              <w:t xml:space="preserve"> energy infrastructure. According to </w:t>
            </w:r>
            <w:r>
              <w:t xml:space="preserve">research published in the journal </w:t>
            </w:r>
            <w:r w:rsidRPr="003F6326">
              <w:rPr>
                <w:i/>
                <w:iCs/>
              </w:rPr>
              <w:t>Energy Research and Social Science</w:t>
            </w:r>
            <w:r w:rsidRPr="00931A88">
              <w:t xml:space="preserve">, the </w:t>
            </w:r>
            <w:r>
              <w:t>storm</w:t>
            </w:r>
            <w:r w:rsidRPr="00931A88">
              <w:t xml:space="preserve"> left more than 4.5 million customers</w:t>
            </w:r>
            <w:r>
              <w:t>,</w:t>
            </w:r>
            <w:r w:rsidRPr="00931A88">
              <w:t xml:space="preserve"> </w:t>
            </w:r>
            <w:r>
              <w:t xml:space="preserve">which </w:t>
            </w:r>
            <w:r w:rsidRPr="00852E85">
              <w:t>translates to</w:t>
            </w:r>
            <w:r>
              <w:t xml:space="preserve"> </w:t>
            </w:r>
            <w:r w:rsidRPr="00931A88">
              <w:t>over 10 million people</w:t>
            </w:r>
            <w:r>
              <w:t>,</w:t>
            </w:r>
            <w:r w:rsidRPr="00931A88">
              <w:t xml:space="preserve"> without electricity at its peak</w:t>
            </w:r>
            <w:r w:rsidR="00AA4C35">
              <w:t>--</w:t>
            </w:r>
            <w:r w:rsidRPr="00931A88">
              <w:t xml:space="preserve">many for several days. </w:t>
            </w:r>
            <w:r w:rsidR="005A115F">
              <w:t>That same journal article indicated that t</w:t>
            </w:r>
            <w:r w:rsidRPr="00931A88">
              <w:t xml:space="preserve">he </w:t>
            </w:r>
            <w:r w:rsidRPr="00C3320E">
              <w:t>freeze</w:t>
            </w:r>
            <w:r w:rsidRPr="00931A88">
              <w:t xml:space="preserve"> had cascading effects on other services reliant on electricity</w:t>
            </w:r>
            <w:r w:rsidR="003F57E2">
              <w:t>,</w:t>
            </w:r>
            <w:r w:rsidRPr="00931A88">
              <w:t xml:space="preserve"> including drinking water treatment and medical services</w:t>
            </w:r>
            <w:r w:rsidR="005A115F">
              <w:t>, and that</w:t>
            </w:r>
            <w:r w:rsidRPr="00931A88">
              <w:t xml:space="preserve"> </w:t>
            </w:r>
            <w:r w:rsidR="005A115F">
              <w:t>e</w:t>
            </w:r>
            <w:r w:rsidRPr="00931A88">
              <w:t>conomic losses from lost output and damage in Texas are estimated to be $1</w:t>
            </w:r>
            <w:r w:rsidRPr="00931A88">
              <w:t>30 billion. The most permanent of impacts from this lack of preparedness and power</w:t>
            </w:r>
            <w:r w:rsidR="005D5080">
              <w:t xml:space="preserve"> </w:t>
            </w:r>
            <w:r w:rsidRPr="00931A88">
              <w:t xml:space="preserve">generating capacity was the loss of hundreds of </w:t>
            </w:r>
            <w:r>
              <w:t>lives</w:t>
            </w:r>
            <w:r w:rsidR="00AA4C35">
              <w:t>--</w:t>
            </w:r>
            <w:r w:rsidRPr="005D5080">
              <w:t>246</w:t>
            </w:r>
            <w:r w:rsidR="006C6971">
              <w:t xml:space="preserve"> winter</w:t>
            </w:r>
            <w:r w:rsidR="00F15DD0">
              <w:t xml:space="preserve"> </w:t>
            </w:r>
            <w:r w:rsidR="006C6971">
              <w:t>storm</w:t>
            </w:r>
            <w:r w:rsidR="0047307A">
              <w:noBreakHyphen/>
            </w:r>
            <w:r w:rsidR="006C6971">
              <w:t xml:space="preserve">related deaths </w:t>
            </w:r>
            <w:r w:rsidR="006F0BA1">
              <w:t>have been</w:t>
            </w:r>
            <w:r w:rsidR="006C6971">
              <w:t xml:space="preserve"> confirmed by</w:t>
            </w:r>
            <w:r>
              <w:t xml:space="preserve"> the Department of State Health Services</w:t>
            </w:r>
            <w:r w:rsidRPr="00931A88">
              <w:t xml:space="preserve">. </w:t>
            </w:r>
          </w:p>
          <w:p w14:paraId="0B6993A4" w14:textId="77777777" w:rsidR="00931A88" w:rsidRDefault="00931A88" w:rsidP="005F6DF3">
            <w:pPr>
              <w:pStyle w:val="Header"/>
              <w:tabs>
                <w:tab w:val="clear" w:pos="4320"/>
                <w:tab w:val="clear" w:pos="8640"/>
              </w:tabs>
              <w:jc w:val="both"/>
            </w:pPr>
          </w:p>
          <w:p w14:paraId="0C9EA8EA" w14:textId="77777777" w:rsidR="00931A88" w:rsidRDefault="00803EA3" w:rsidP="005F6DF3">
            <w:pPr>
              <w:pStyle w:val="Header"/>
              <w:tabs>
                <w:tab w:val="clear" w:pos="4320"/>
                <w:tab w:val="clear" w:pos="8640"/>
              </w:tabs>
              <w:jc w:val="both"/>
            </w:pPr>
            <w:r w:rsidRPr="00931A88">
              <w:t>Response to such disasters is critical in order to help ensure that proper precautions are taken in the future. Demand response adds value to the ERCOT market by assisting in the preservation of system reliabilit</w:t>
            </w:r>
            <w:r w:rsidRPr="00931A88">
              <w:t xml:space="preserve">y, increasing competition, mitigating price spikes, and encouraging the demand side of the market to respond better to wholesale price signals. </w:t>
            </w:r>
          </w:p>
          <w:p w14:paraId="3CF2E448" w14:textId="77777777" w:rsidR="00931A88" w:rsidRDefault="00931A88" w:rsidP="005F6DF3">
            <w:pPr>
              <w:pStyle w:val="Header"/>
              <w:tabs>
                <w:tab w:val="clear" w:pos="4320"/>
                <w:tab w:val="clear" w:pos="8640"/>
              </w:tabs>
              <w:jc w:val="both"/>
            </w:pPr>
          </w:p>
          <w:p w14:paraId="0B547344" w14:textId="2F447024" w:rsidR="008423E4" w:rsidRDefault="00803EA3" w:rsidP="005F6DF3">
            <w:pPr>
              <w:pStyle w:val="Header"/>
              <w:tabs>
                <w:tab w:val="clear" w:pos="4320"/>
                <w:tab w:val="clear" w:pos="8640"/>
              </w:tabs>
              <w:jc w:val="both"/>
            </w:pPr>
            <w:r>
              <w:t>C.S.</w:t>
            </w:r>
            <w:r w:rsidR="00931A88" w:rsidRPr="00931A88">
              <w:t xml:space="preserve">S.B. 114 </w:t>
            </w:r>
            <w:r>
              <w:t>seeks to</w:t>
            </w:r>
            <w:r w:rsidRPr="00931A88">
              <w:t xml:space="preserve"> </w:t>
            </w:r>
            <w:r w:rsidR="004D0A89" w:rsidRPr="009254D7">
              <w:t>require the Public Utility Commission of Texas to establish goals in the ERCOT power region to reduce the average tota</w:t>
            </w:r>
            <w:r w:rsidR="004D0A89">
              <w:t xml:space="preserve">l residential load and to adopt </w:t>
            </w:r>
            <w:r w:rsidR="00346DB6">
              <w:t xml:space="preserve">certain rules </w:t>
            </w:r>
            <w:r w:rsidR="005A115F">
              <w:t>relating to</w:t>
            </w:r>
            <w:r w:rsidR="00346DB6">
              <w:t xml:space="preserve"> demand response programs</w:t>
            </w:r>
            <w:r w:rsidR="00517C6B">
              <w:t xml:space="preserve"> </w:t>
            </w:r>
            <w:r w:rsidR="005A115F">
              <w:t xml:space="preserve">offered </w:t>
            </w:r>
            <w:r w:rsidR="00517C6B">
              <w:t>by retail electric provider</w:t>
            </w:r>
            <w:r w:rsidR="00852E85">
              <w:t>s</w:t>
            </w:r>
            <w:r w:rsidR="00931A88" w:rsidRPr="00931A88">
              <w:t xml:space="preserve">. </w:t>
            </w:r>
          </w:p>
          <w:p w14:paraId="41D6B4B2" w14:textId="77777777" w:rsidR="008423E4" w:rsidRPr="00E26B13" w:rsidRDefault="008423E4" w:rsidP="005F6DF3">
            <w:pPr>
              <w:rPr>
                <w:b/>
              </w:rPr>
            </w:pPr>
          </w:p>
        </w:tc>
      </w:tr>
      <w:tr w:rsidR="006529DC" w14:paraId="2B10735B" w14:textId="77777777" w:rsidTr="00537725">
        <w:tc>
          <w:tcPr>
            <w:tcW w:w="9360" w:type="dxa"/>
          </w:tcPr>
          <w:p w14:paraId="5602721B" w14:textId="77777777" w:rsidR="0017725B" w:rsidRDefault="00803EA3" w:rsidP="005F6DF3">
            <w:pPr>
              <w:rPr>
                <w:b/>
                <w:u w:val="single"/>
              </w:rPr>
            </w:pPr>
            <w:r>
              <w:rPr>
                <w:b/>
                <w:u w:val="single"/>
              </w:rPr>
              <w:t>CRIMINAL JUSTICE IMPACT</w:t>
            </w:r>
          </w:p>
          <w:p w14:paraId="36E04D40" w14:textId="77777777" w:rsidR="0017725B" w:rsidRDefault="0017725B" w:rsidP="005F6DF3">
            <w:pPr>
              <w:rPr>
                <w:b/>
                <w:u w:val="single"/>
              </w:rPr>
            </w:pPr>
          </w:p>
          <w:p w14:paraId="7D4A90D5" w14:textId="30A32DA5" w:rsidR="007E066A" w:rsidRPr="007E066A" w:rsidRDefault="00803EA3" w:rsidP="005F6DF3">
            <w:pPr>
              <w:jc w:val="both"/>
            </w:pPr>
            <w:r>
              <w:t>It is the committee's opinion that this bill does not expressly create a crim</w:t>
            </w:r>
            <w:r>
              <w:t>inal offense, increase the punishment for an existing criminal offense or category of offenses, or change the eligibility of a person for community supervision, parole, or mandatory supervision.</w:t>
            </w:r>
          </w:p>
          <w:p w14:paraId="68CD67B5" w14:textId="77777777" w:rsidR="0017725B" w:rsidRPr="0017725B" w:rsidRDefault="0017725B" w:rsidP="005F6DF3">
            <w:pPr>
              <w:rPr>
                <w:b/>
                <w:u w:val="single"/>
              </w:rPr>
            </w:pPr>
          </w:p>
        </w:tc>
      </w:tr>
      <w:tr w:rsidR="006529DC" w14:paraId="736A324A" w14:textId="77777777" w:rsidTr="00537725">
        <w:tc>
          <w:tcPr>
            <w:tcW w:w="9360" w:type="dxa"/>
          </w:tcPr>
          <w:p w14:paraId="3126336A" w14:textId="77777777" w:rsidR="008423E4" w:rsidRPr="00A8133F" w:rsidRDefault="00803EA3" w:rsidP="005F6DF3">
            <w:pPr>
              <w:rPr>
                <w:b/>
              </w:rPr>
            </w:pPr>
            <w:r w:rsidRPr="009C1E9A">
              <w:rPr>
                <w:b/>
                <w:u w:val="single"/>
              </w:rPr>
              <w:t>RULEMAKING AUTHORITY</w:t>
            </w:r>
            <w:r>
              <w:rPr>
                <w:b/>
              </w:rPr>
              <w:t xml:space="preserve"> </w:t>
            </w:r>
          </w:p>
          <w:p w14:paraId="218F3CAE" w14:textId="77777777" w:rsidR="008423E4" w:rsidRDefault="008423E4" w:rsidP="005F6DF3"/>
          <w:p w14:paraId="1B0BE90C" w14:textId="12B63258" w:rsidR="007E066A" w:rsidRDefault="00803EA3" w:rsidP="005F6DF3">
            <w:pPr>
              <w:pStyle w:val="Header"/>
              <w:tabs>
                <w:tab w:val="clear" w:pos="4320"/>
                <w:tab w:val="clear" w:pos="8640"/>
              </w:tabs>
              <w:jc w:val="both"/>
            </w:pPr>
            <w:r>
              <w:t>It is the committee's opinion that r</w:t>
            </w:r>
            <w:r>
              <w:t xml:space="preserve">ulemaking authority is expressly granted to the </w:t>
            </w:r>
            <w:r w:rsidRPr="007E2E21">
              <w:t>Public Utility Commission of Texas</w:t>
            </w:r>
            <w:r>
              <w:t xml:space="preserve"> in SECTION 2 of this bill.</w:t>
            </w:r>
          </w:p>
          <w:p w14:paraId="19F5527D" w14:textId="77777777" w:rsidR="008423E4" w:rsidRPr="00E21FDC" w:rsidRDefault="008423E4" w:rsidP="005F6DF3">
            <w:pPr>
              <w:rPr>
                <w:b/>
              </w:rPr>
            </w:pPr>
          </w:p>
        </w:tc>
      </w:tr>
      <w:tr w:rsidR="006529DC" w14:paraId="2934F3DF" w14:textId="77777777" w:rsidTr="00537725">
        <w:tc>
          <w:tcPr>
            <w:tcW w:w="9360" w:type="dxa"/>
          </w:tcPr>
          <w:p w14:paraId="4C183984" w14:textId="4FDE0255" w:rsidR="008423E4" w:rsidRDefault="00803EA3" w:rsidP="005F6DF3">
            <w:pPr>
              <w:rPr>
                <w:b/>
              </w:rPr>
            </w:pPr>
            <w:r w:rsidRPr="009C1E9A">
              <w:rPr>
                <w:b/>
                <w:u w:val="single"/>
              </w:rPr>
              <w:t>ANALYSIS</w:t>
            </w:r>
            <w:r>
              <w:rPr>
                <w:b/>
              </w:rPr>
              <w:t xml:space="preserve"> </w:t>
            </w:r>
          </w:p>
          <w:p w14:paraId="130C49E7" w14:textId="77777777" w:rsidR="005F6DF3" w:rsidRPr="00A8133F" w:rsidRDefault="005F6DF3" w:rsidP="005F6DF3">
            <w:pPr>
              <w:rPr>
                <w:b/>
              </w:rPr>
            </w:pPr>
          </w:p>
          <w:p w14:paraId="657674EC" w14:textId="7B7FC9C3" w:rsidR="0006468C" w:rsidRDefault="00803EA3" w:rsidP="005F6DF3">
            <w:pPr>
              <w:jc w:val="both"/>
            </w:pPr>
            <w:r>
              <w:t>C.S.</w:t>
            </w:r>
            <w:r w:rsidR="008C1313">
              <w:t xml:space="preserve">S.B. 114 amends the Utilities Code to </w:t>
            </w:r>
            <w:r>
              <w:t xml:space="preserve">require the </w:t>
            </w:r>
            <w:r w:rsidR="007E2E21" w:rsidRPr="007E2E21">
              <w:t>Public Utility Commission of Texas (PUC)</w:t>
            </w:r>
            <w:r w:rsidR="007E2E21">
              <w:t xml:space="preserve"> by rule to </w:t>
            </w:r>
            <w:r w:rsidR="007E2E21" w:rsidRPr="007E2E21">
              <w:t>establish goals in the ERCOT power region to reduce the average total residential load</w:t>
            </w:r>
            <w:r w:rsidR="00221734">
              <w:t>.</w:t>
            </w:r>
            <w:r w:rsidR="007E2E21">
              <w:t xml:space="preserve"> </w:t>
            </w:r>
            <w:r w:rsidR="00221734">
              <w:t>The</w:t>
            </w:r>
            <w:r w:rsidR="007E2E21">
              <w:t xml:space="preserve"> </w:t>
            </w:r>
            <w:r w:rsidR="00221734">
              <w:t xml:space="preserve">bill requires that the rules </w:t>
            </w:r>
            <w:r w:rsidR="007E2E21">
              <w:t>provide for the adoption of a program that</w:t>
            </w:r>
            <w:r w:rsidR="00221734">
              <w:t xml:space="preserve">, </w:t>
            </w:r>
            <w:r w:rsidR="008C1313">
              <w:t>as follows:</w:t>
            </w:r>
          </w:p>
          <w:p w14:paraId="13819FC2" w14:textId="15808492" w:rsidR="008C1313" w:rsidRDefault="00803EA3" w:rsidP="005F6DF3">
            <w:pPr>
              <w:pStyle w:val="ListParagraph"/>
              <w:numPr>
                <w:ilvl w:val="0"/>
                <w:numId w:val="1"/>
              </w:numPr>
              <w:contextualSpacing w:val="0"/>
              <w:jc w:val="both"/>
            </w:pPr>
            <w:r>
              <w:t>provides demand response participation to residential customers where reasonably available;</w:t>
            </w:r>
          </w:p>
          <w:p w14:paraId="6EDA9E87" w14:textId="3EC3EC92" w:rsidR="008C1313" w:rsidRDefault="00803EA3" w:rsidP="005F6DF3">
            <w:pPr>
              <w:pStyle w:val="ListParagraph"/>
              <w:numPr>
                <w:ilvl w:val="0"/>
                <w:numId w:val="1"/>
              </w:numPr>
              <w:contextualSpacing w:val="0"/>
              <w:jc w:val="both"/>
            </w:pPr>
            <w:r>
              <w:t>promotes t</w:t>
            </w:r>
            <w:r>
              <w:t>he use of smart metering technology;</w:t>
            </w:r>
          </w:p>
          <w:p w14:paraId="5400A511" w14:textId="52EBB360" w:rsidR="008C1313" w:rsidRDefault="00803EA3" w:rsidP="005F6DF3">
            <w:pPr>
              <w:pStyle w:val="ListParagraph"/>
              <w:numPr>
                <w:ilvl w:val="0"/>
                <w:numId w:val="1"/>
              </w:numPr>
              <w:contextualSpacing w:val="0"/>
              <w:jc w:val="both"/>
            </w:pPr>
            <w:r>
              <w:t>is capable of responding to an emergency energy alert about low operating reserves issued by ERCOT;</w:t>
            </w:r>
          </w:p>
          <w:p w14:paraId="37C9591D" w14:textId="331C3FF1" w:rsidR="008C1313" w:rsidRDefault="00803EA3" w:rsidP="005F6DF3">
            <w:pPr>
              <w:pStyle w:val="ListParagraph"/>
              <w:numPr>
                <w:ilvl w:val="0"/>
                <w:numId w:val="1"/>
              </w:numPr>
              <w:contextualSpacing w:val="0"/>
              <w:jc w:val="both"/>
            </w:pPr>
            <w:r>
              <w:t xml:space="preserve">provides opportunities for demand response providers to contract with retail electric providers </w:t>
            </w:r>
            <w:r w:rsidR="009F7BD1">
              <w:t xml:space="preserve">(REPs) </w:t>
            </w:r>
            <w:r>
              <w:t>to provide deman</w:t>
            </w:r>
            <w:r>
              <w:t>d response services;</w:t>
            </w:r>
          </w:p>
          <w:p w14:paraId="426C8281" w14:textId="07C8AC83" w:rsidR="008C1313" w:rsidRDefault="00803EA3" w:rsidP="005F6DF3">
            <w:pPr>
              <w:pStyle w:val="ListParagraph"/>
              <w:numPr>
                <w:ilvl w:val="0"/>
                <w:numId w:val="1"/>
              </w:numPr>
              <w:contextualSpacing w:val="0"/>
              <w:jc w:val="both"/>
            </w:pPr>
            <w:r>
              <w:t>ensures the program does not impact the critical needs of vulnerable populations;</w:t>
            </w:r>
          </w:p>
          <w:p w14:paraId="50B4AFDD" w14:textId="08D7E68E" w:rsidR="00B25BF9" w:rsidRDefault="00803EA3" w:rsidP="005F6DF3">
            <w:pPr>
              <w:pStyle w:val="ListParagraph"/>
              <w:numPr>
                <w:ilvl w:val="0"/>
                <w:numId w:val="1"/>
              </w:numPr>
              <w:contextualSpacing w:val="0"/>
              <w:jc w:val="both"/>
            </w:pPr>
            <w:r>
              <w:t>facilitates the widespread deployment of smart responsive appliances and devices in a manner that enables the customer's appliance or device to be enroll</w:t>
            </w:r>
            <w:r>
              <w:t>ed as part of a demand response product or plan offered by a</w:t>
            </w:r>
            <w:r w:rsidR="009F7BD1">
              <w:t>n REP</w:t>
            </w:r>
            <w:r>
              <w:t>;</w:t>
            </w:r>
          </w:p>
          <w:p w14:paraId="29CE834C" w14:textId="3518C1A4" w:rsidR="008C1313" w:rsidRDefault="00803EA3" w:rsidP="005F6DF3">
            <w:pPr>
              <w:pStyle w:val="ListParagraph"/>
              <w:numPr>
                <w:ilvl w:val="0"/>
                <w:numId w:val="1"/>
              </w:numPr>
              <w:contextualSpacing w:val="0"/>
              <w:jc w:val="both"/>
            </w:pPr>
            <w:r>
              <w:t>provides for achievement of demand reductions within both summer and winter seasons; and</w:t>
            </w:r>
          </w:p>
          <w:p w14:paraId="21A176F1" w14:textId="4DAD8699" w:rsidR="008C1313" w:rsidRDefault="00803EA3" w:rsidP="005F6DF3">
            <w:pPr>
              <w:pStyle w:val="ListParagraph"/>
              <w:numPr>
                <w:ilvl w:val="0"/>
                <w:numId w:val="1"/>
              </w:numPr>
              <w:contextualSpacing w:val="0"/>
              <w:jc w:val="both"/>
            </w:pPr>
            <w:r>
              <w:t>allows a</w:t>
            </w:r>
            <w:r w:rsidR="009F7BD1">
              <w:t>n</w:t>
            </w:r>
            <w:r>
              <w:t xml:space="preserve"> </w:t>
            </w:r>
            <w:r w:rsidR="009F7BD1">
              <w:t>REP</w:t>
            </w:r>
            <w:r>
              <w:t xml:space="preserve"> that offers a demand response program to obtain funding for the program through an ene</w:t>
            </w:r>
            <w:r>
              <w:t>rgy efficiency incentive program</w:t>
            </w:r>
            <w:r w:rsidR="005E59F6">
              <w:t xml:space="preserve"> </w:t>
            </w:r>
            <w:r w:rsidR="005E59F6" w:rsidRPr="001B1A5C">
              <w:t>if the program complies</w:t>
            </w:r>
            <w:r w:rsidR="005E59F6">
              <w:t xml:space="preserve"> with applicable </w:t>
            </w:r>
            <w:r w:rsidR="0066053C">
              <w:t xml:space="preserve">PUC </w:t>
            </w:r>
            <w:r w:rsidR="005E59F6">
              <w:t xml:space="preserve">requirements </w:t>
            </w:r>
            <w:r w:rsidR="0066053C">
              <w:t>for energy efficiency incentive programs</w:t>
            </w:r>
            <w:r w:rsidR="009D50B1">
              <w:t xml:space="preserve"> adopted</w:t>
            </w:r>
            <w:r w:rsidR="0066053C">
              <w:t xml:space="preserve"> </w:t>
            </w:r>
            <w:r w:rsidR="0066053C" w:rsidRPr="00E158D1">
              <w:t>as part of the</w:t>
            </w:r>
            <w:r w:rsidR="0066053C">
              <w:t xml:space="preserve"> state's goals for energy efficiency</w:t>
            </w:r>
            <w:r w:rsidR="005E59F6">
              <w:t>.</w:t>
            </w:r>
          </w:p>
          <w:p w14:paraId="05A791BA" w14:textId="77777777" w:rsidR="00B3450E" w:rsidRDefault="00803EA3" w:rsidP="005F6DF3">
            <w:pPr>
              <w:jc w:val="both"/>
            </w:pPr>
            <w:r>
              <w:t xml:space="preserve">The bill </w:t>
            </w:r>
            <w:r w:rsidR="0066053C" w:rsidRPr="00C3171F">
              <w:t>authorizes a transmission</w:t>
            </w:r>
            <w:r w:rsidR="0066053C" w:rsidRPr="0025518E">
              <w:t xml:space="preserve"> and distribution utility</w:t>
            </w:r>
            <w:r w:rsidR="0056558D">
              <w:t xml:space="preserve"> (TDU)</w:t>
            </w:r>
            <w:r w:rsidR="0066053C" w:rsidRPr="0025518E">
              <w:t xml:space="preserve"> required to provide an energy efficiency incentive program</w:t>
            </w:r>
            <w:r w:rsidR="0066053C">
              <w:t xml:space="preserve"> to </w:t>
            </w:r>
            <w:r w:rsidR="0066053C" w:rsidRPr="0025518E">
              <w:t xml:space="preserve">use up to 10 percent of the budgeted spending for those programs </w:t>
            </w:r>
            <w:r w:rsidR="0066053C" w:rsidRPr="00C3171F">
              <w:t>on such demand response programs</w:t>
            </w:r>
            <w:r w:rsidR="0066053C">
              <w:t xml:space="preserve">. </w:t>
            </w:r>
          </w:p>
          <w:p w14:paraId="54D1574E" w14:textId="77777777" w:rsidR="00B3450E" w:rsidRDefault="00B3450E" w:rsidP="005F6DF3">
            <w:pPr>
              <w:jc w:val="both"/>
            </w:pPr>
          </w:p>
          <w:p w14:paraId="5CFC67FE" w14:textId="6A585EA3" w:rsidR="008C1313" w:rsidRDefault="00803EA3" w:rsidP="005F6DF3">
            <w:pPr>
              <w:jc w:val="both"/>
            </w:pPr>
            <w:r>
              <w:t>C.S.S.B. 114</w:t>
            </w:r>
            <w:r w:rsidR="0066053C">
              <w:t xml:space="preserve"> </w:t>
            </w:r>
            <w:r>
              <w:t xml:space="preserve">requires </w:t>
            </w:r>
            <w:r w:rsidR="00221734">
              <w:t xml:space="preserve">the </w:t>
            </w:r>
            <w:r>
              <w:t>goals</w:t>
            </w:r>
            <w:r w:rsidR="00221734">
              <w:t xml:space="preserve"> to reduce the average total residential load in the ERCOT power region to</w:t>
            </w:r>
            <w:r>
              <w:t xml:space="preserve"> be </w:t>
            </w:r>
            <w:r w:rsidRPr="008C1313">
              <w:t>calculated as a ratio by dividing the amount of load reduced at peak demand by the total amount of demand, at the same time, of all residential customers who have responsive appl</w:t>
            </w:r>
            <w:r w:rsidRPr="008C1313">
              <w:t>iances or devices at their premises that reduce the electric consumption of the customers.</w:t>
            </w:r>
            <w:r w:rsidR="00277D5C">
              <w:t xml:space="preserve"> The bill</w:t>
            </w:r>
            <w:r w:rsidR="00221734">
              <w:t xml:space="preserve"> requires </w:t>
            </w:r>
            <w:r w:rsidR="00221734" w:rsidRPr="00852E85">
              <w:t xml:space="preserve">the </w:t>
            </w:r>
            <w:r w:rsidR="00C3171F" w:rsidRPr="00852E85">
              <w:t xml:space="preserve">program </w:t>
            </w:r>
            <w:r w:rsidR="00221734" w:rsidRPr="00852E85">
              <w:t xml:space="preserve">rules adopted </w:t>
            </w:r>
            <w:r w:rsidR="00C3171F" w:rsidRPr="00852E85">
              <w:t>by the PUC</w:t>
            </w:r>
            <w:r w:rsidR="00221734">
              <w:t xml:space="preserve"> to establish the method by which the components of the ratio are calculated for purposes of determining whether the goals have been achieved. </w:t>
            </w:r>
            <w:r w:rsidR="00C05056" w:rsidRPr="00C05056">
              <w:t xml:space="preserve">The bill requires the PUC, before December 31, 2024, to adopt the rules necessary for the adoption of a program to begin facilitating the widespread deployment of appliances and devices capable of being part of a demand response product or plan offered by </w:t>
            </w:r>
            <w:r w:rsidR="00C05056">
              <w:t>an REP</w:t>
            </w:r>
            <w:r w:rsidR="00C05056" w:rsidRPr="00C05056">
              <w:t>.</w:t>
            </w:r>
          </w:p>
          <w:p w14:paraId="4923CD1B" w14:textId="77777777" w:rsidR="007E066A" w:rsidRDefault="007E066A" w:rsidP="005F6DF3">
            <w:pPr>
              <w:jc w:val="both"/>
            </w:pPr>
          </w:p>
          <w:p w14:paraId="22028670" w14:textId="5B337538" w:rsidR="00AA4C35" w:rsidRDefault="00803EA3" w:rsidP="005F6DF3">
            <w:pPr>
              <w:jc w:val="both"/>
            </w:pPr>
            <w:r>
              <w:t>C.S.</w:t>
            </w:r>
            <w:r w:rsidR="00B545D9">
              <w:t xml:space="preserve">S.B. 114 </w:t>
            </w:r>
            <w:r w:rsidR="009F7BD1">
              <w:t>entitles</w:t>
            </w:r>
            <w:r w:rsidR="00B545D9">
              <w:t xml:space="preserve"> a customer </w:t>
            </w:r>
            <w:r w:rsidR="009F7BD1">
              <w:t>in the</w:t>
            </w:r>
            <w:r w:rsidR="00B545D9">
              <w:t xml:space="preserve"> competitive retail electric market to participation in demand response programs through </w:t>
            </w:r>
            <w:r w:rsidR="009F7BD1">
              <w:t>REPs</w:t>
            </w:r>
            <w:r w:rsidR="00B545D9">
              <w:t xml:space="preserve"> </w:t>
            </w:r>
            <w:r w:rsidR="009F7BD1">
              <w:t xml:space="preserve">that offer those programs </w:t>
            </w:r>
            <w:r w:rsidR="00B545D9">
              <w:t xml:space="preserve">and </w:t>
            </w:r>
            <w:r w:rsidR="009F7BD1">
              <w:t xml:space="preserve">to </w:t>
            </w:r>
            <w:r w:rsidR="00B545D9">
              <w:t>receiv</w:t>
            </w:r>
            <w:r w:rsidR="009F7BD1">
              <w:t>e</w:t>
            </w:r>
            <w:r w:rsidR="00B545D9">
              <w:t xml:space="preserve"> notice from </w:t>
            </w:r>
            <w:r w:rsidR="00D25C65">
              <w:t xml:space="preserve">the </w:t>
            </w:r>
            <w:r w:rsidR="009F7BD1">
              <w:t>REP</w:t>
            </w:r>
            <w:r w:rsidR="00B545D9">
              <w:t xml:space="preserve"> that serves the customer when ERCOT issues an emergency energy alert.</w:t>
            </w:r>
          </w:p>
          <w:p w14:paraId="0212E056" w14:textId="519025AF" w:rsidR="0047307A" w:rsidRPr="008C1313" w:rsidRDefault="0047307A" w:rsidP="005F6DF3">
            <w:pPr>
              <w:jc w:val="both"/>
            </w:pPr>
          </w:p>
        </w:tc>
      </w:tr>
      <w:tr w:rsidR="006529DC" w14:paraId="638690EF" w14:textId="77777777" w:rsidTr="00537725">
        <w:tc>
          <w:tcPr>
            <w:tcW w:w="9360" w:type="dxa"/>
          </w:tcPr>
          <w:p w14:paraId="6F7C876E" w14:textId="77777777" w:rsidR="008423E4" w:rsidRPr="00A8133F" w:rsidRDefault="00803EA3" w:rsidP="005F6DF3">
            <w:pPr>
              <w:rPr>
                <w:b/>
              </w:rPr>
            </w:pPr>
            <w:r w:rsidRPr="009C1E9A">
              <w:rPr>
                <w:b/>
                <w:u w:val="single"/>
              </w:rPr>
              <w:t>EFFECTIVE DATE</w:t>
            </w:r>
            <w:r>
              <w:rPr>
                <w:b/>
              </w:rPr>
              <w:t xml:space="preserve"> </w:t>
            </w:r>
          </w:p>
          <w:p w14:paraId="17647A81" w14:textId="77777777" w:rsidR="008423E4" w:rsidRDefault="008423E4" w:rsidP="005F6DF3"/>
          <w:p w14:paraId="6413F125" w14:textId="77777777" w:rsidR="008423E4" w:rsidRDefault="00803EA3" w:rsidP="005F6DF3">
            <w:pPr>
              <w:pStyle w:val="Header"/>
              <w:tabs>
                <w:tab w:val="clear" w:pos="4320"/>
                <w:tab w:val="clear" w:pos="8640"/>
              </w:tabs>
              <w:jc w:val="both"/>
            </w:pPr>
            <w:r>
              <w:t>On passage, or, if the bill does not receive the necessary vote, September 1, 2023.</w:t>
            </w:r>
          </w:p>
          <w:p w14:paraId="496C8712" w14:textId="55EC44B0" w:rsidR="0047307A" w:rsidRPr="00233FDB" w:rsidRDefault="0047307A" w:rsidP="005F6DF3">
            <w:pPr>
              <w:pStyle w:val="Header"/>
              <w:tabs>
                <w:tab w:val="clear" w:pos="4320"/>
                <w:tab w:val="clear" w:pos="8640"/>
              </w:tabs>
              <w:jc w:val="both"/>
              <w:rPr>
                <w:b/>
              </w:rPr>
            </w:pPr>
          </w:p>
        </w:tc>
      </w:tr>
      <w:tr w:rsidR="006529DC" w14:paraId="49DB36E2" w14:textId="77777777" w:rsidTr="00537725">
        <w:tc>
          <w:tcPr>
            <w:tcW w:w="9360" w:type="dxa"/>
          </w:tcPr>
          <w:p w14:paraId="74E04C05" w14:textId="00A1088D" w:rsidR="00537725" w:rsidRDefault="00803EA3" w:rsidP="005F6DF3">
            <w:pPr>
              <w:rPr>
                <w:b/>
                <w:bCs/>
                <w:u w:val="single"/>
              </w:rPr>
            </w:pPr>
            <w:r w:rsidRPr="00537725">
              <w:rPr>
                <w:b/>
                <w:bCs/>
                <w:u w:val="single"/>
              </w:rPr>
              <w:t>COMPARISON OF SENATE ENGROSSED AND SUBSTITUTE</w:t>
            </w:r>
          </w:p>
          <w:p w14:paraId="3CD1B595" w14:textId="77777777" w:rsidR="0047307A" w:rsidRPr="0025518E" w:rsidRDefault="0047307A" w:rsidP="005F6DF3">
            <w:pPr>
              <w:rPr>
                <w:b/>
                <w:bCs/>
                <w:u w:val="single"/>
              </w:rPr>
            </w:pPr>
          </w:p>
          <w:p w14:paraId="0845AED8" w14:textId="42ED8125" w:rsidR="00537725" w:rsidRDefault="00803EA3" w:rsidP="005F6DF3">
            <w:pPr>
              <w:jc w:val="both"/>
            </w:pPr>
            <w:r>
              <w:t xml:space="preserve">While C.S.S.B. 114 may differ from the </w:t>
            </w:r>
            <w:r>
              <w:t>engrossed in minor or nonsubstantive ways, the following summarizes the substantial differences between the engrossed and committee substitute versions of the bill.</w:t>
            </w:r>
          </w:p>
          <w:p w14:paraId="6B2E1882" w14:textId="1E7EB90A" w:rsidR="00537725" w:rsidRDefault="00537725" w:rsidP="005F6DF3">
            <w:pPr>
              <w:jc w:val="both"/>
            </w:pPr>
          </w:p>
          <w:p w14:paraId="49CD4579" w14:textId="54B4E368" w:rsidR="0003045C" w:rsidRDefault="00803EA3" w:rsidP="005F6DF3">
            <w:pPr>
              <w:jc w:val="both"/>
            </w:pPr>
            <w:r>
              <w:t>The substitute revises the provision in</w:t>
            </w:r>
            <w:r w:rsidRPr="0003045C">
              <w:t xml:space="preserve"> the </w:t>
            </w:r>
            <w:r w:rsidR="00FB16F9">
              <w:t>engrossed providing for the ability of</w:t>
            </w:r>
            <w:r w:rsidR="005E59F6">
              <w:t xml:space="preserve"> </w:t>
            </w:r>
            <w:r w:rsidR="0025518E">
              <w:t>an REP</w:t>
            </w:r>
            <w:r w:rsidR="005E59F6" w:rsidRPr="005E59F6">
              <w:t xml:space="preserve"> that offers a demand response program to obtain funding for the program through an energy efficiency incentive program</w:t>
            </w:r>
            <w:r w:rsidR="00505CFA">
              <w:t xml:space="preserve"> to condition that funding on</w:t>
            </w:r>
            <w:r w:rsidR="005E59F6">
              <w:t xml:space="preserve"> the demand response program </w:t>
            </w:r>
            <w:r w:rsidR="005E59F6" w:rsidRPr="005E59F6">
              <w:t>compl</w:t>
            </w:r>
            <w:r w:rsidR="00505CFA">
              <w:t>y</w:t>
            </w:r>
            <w:r w:rsidR="005E59F6" w:rsidRPr="005E59F6">
              <w:t>i</w:t>
            </w:r>
            <w:r w:rsidR="00505CFA">
              <w:t>ng</w:t>
            </w:r>
            <w:r w:rsidR="005E59F6" w:rsidRPr="005E59F6">
              <w:t xml:space="preserve"> w</w:t>
            </w:r>
            <w:r w:rsidR="005E59F6">
              <w:t>ith applicable PUC requirements.</w:t>
            </w:r>
          </w:p>
          <w:p w14:paraId="16836F5C" w14:textId="77777777" w:rsidR="005E59F6" w:rsidRPr="00537725" w:rsidRDefault="005E59F6" w:rsidP="005F6DF3">
            <w:pPr>
              <w:jc w:val="both"/>
            </w:pPr>
          </w:p>
          <w:p w14:paraId="260C8872" w14:textId="370F821C" w:rsidR="00AE7CBF" w:rsidRPr="00AE7CBF" w:rsidRDefault="00803EA3" w:rsidP="005F6DF3">
            <w:pPr>
              <w:jc w:val="both"/>
            </w:pPr>
            <w:r w:rsidRPr="00537725">
              <w:t>The substitute includes</w:t>
            </w:r>
            <w:r w:rsidR="0056558D">
              <w:t xml:space="preserve"> a</w:t>
            </w:r>
            <w:r w:rsidRPr="00537725">
              <w:t xml:space="preserve"> provision</w:t>
            </w:r>
            <w:r w:rsidRPr="00537725">
              <w:t xml:space="preserve"> not in the </w:t>
            </w:r>
            <w:r w:rsidR="0056558D">
              <w:t>engrossed</w:t>
            </w:r>
            <w:r w:rsidR="0056558D" w:rsidRPr="00537725">
              <w:t xml:space="preserve"> </w:t>
            </w:r>
            <w:r>
              <w:t xml:space="preserve">authorizing a </w:t>
            </w:r>
            <w:r w:rsidR="0056558D">
              <w:t>TDU</w:t>
            </w:r>
            <w:r w:rsidRPr="00537725">
              <w:t xml:space="preserve"> </w:t>
            </w:r>
            <w:r>
              <w:t xml:space="preserve">required to provide </w:t>
            </w:r>
            <w:r w:rsidR="0003045C" w:rsidRPr="0003045C">
              <w:t xml:space="preserve">an energy efficiency incentive program </w:t>
            </w:r>
            <w:r w:rsidR="0003045C">
              <w:t xml:space="preserve">to </w:t>
            </w:r>
            <w:r w:rsidR="0003045C" w:rsidRPr="0003045C">
              <w:t>use up to 10 percent of the budgeted spending for those programs on demand response programs</w:t>
            </w:r>
            <w:r w:rsidR="0003045C">
              <w:t>.</w:t>
            </w:r>
          </w:p>
        </w:tc>
      </w:tr>
    </w:tbl>
    <w:p w14:paraId="3C730108" w14:textId="77777777" w:rsidR="008423E4" w:rsidRPr="00BE0E75" w:rsidRDefault="008423E4" w:rsidP="005F6DF3">
      <w:pPr>
        <w:jc w:val="both"/>
        <w:rPr>
          <w:rFonts w:ascii="Arial" w:hAnsi="Arial"/>
          <w:sz w:val="16"/>
          <w:szCs w:val="16"/>
        </w:rPr>
      </w:pPr>
    </w:p>
    <w:p w14:paraId="22FB7270" w14:textId="77777777" w:rsidR="004108C3" w:rsidRPr="008423E4" w:rsidRDefault="004108C3" w:rsidP="005F6DF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7B23" w14:textId="77777777" w:rsidR="00000000" w:rsidRDefault="00803EA3">
      <w:r>
        <w:separator/>
      </w:r>
    </w:p>
  </w:endnote>
  <w:endnote w:type="continuationSeparator" w:id="0">
    <w:p w14:paraId="44A6FF14" w14:textId="77777777" w:rsidR="00000000" w:rsidRDefault="0080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5CA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529DC" w14:paraId="2A616FD1" w14:textId="77777777" w:rsidTr="009C1E9A">
      <w:trPr>
        <w:cantSplit/>
      </w:trPr>
      <w:tc>
        <w:tcPr>
          <w:tcW w:w="0" w:type="pct"/>
        </w:tcPr>
        <w:p w14:paraId="1903D146" w14:textId="77777777" w:rsidR="00137D90" w:rsidRDefault="00137D90" w:rsidP="009C1E9A">
          <w:pPr>
            <w:pStyle w:val="Footer"/>
            <w:tabs>
              <w:tab w:val="clear" w:pos="8640"/>
              <w:tab w:val="right" w:pos="9360"/>
            </w:tabs>
          </w:pPr>
        </w:p>
      </w:tc>
      <w:tc>
        <w:tcPr>
          <w:tcW w:w="2395" w:type="pct"/>
        </w:tcPr>
        <w:p w14:paraId="428035CF" w14:textId="77777777" w:rsidR="00137D90" w:rsidRDefault="00137D90" w:rsidP="009C1E9A">
          <w:pPr>
            <w:pStyle w:val="Footer"/>
            <w:tabs>
              <w:tab w:val="clear" w:pos="8640"/>
              <w:tab w:val="right" w:pos="9360"/>
            </w:tabs>
          </w:pPr>
        </w:p>
        <w:p w14:paraId="4B9D15B3" w14:textId="77777777" w:rsidR="001A4310" w:rsidRDefault="001A4310" w:rsidP="009C1E9A">
          <w:pPr>
            <w:pStyle w:val="Footer"/>
            <w:tabs>
              <w:tab w:val="clear" w:pos="8640"/>
              <w:tab w:val="right" w:pos="9360"/>
            </w:tabs>
          </w:pPr>
        </w:p>
        <w:p w14:paraId="64564326" w14:textId="77777777" w:rsidR="00137D90" w:rsidRDefault="00137D90" w:rsidP="009C1E9A">
          <w:pPr>
            <w:pStyle w:val="Footer"/>
            <w:tabs>
              <w:tab w:val="clear" w:pos="8640"/>
              <w:tab w:val="right" w:pos="9360"/>
            </w:tabs>
          </w:pPr>
        </w:p>
      </w:tc>
      <w:tc>
        <w:tcPr>
          <w:tcW w:w="2453" w:type="pct"/>
        </w:tcPr>
        <w:p w14:paraId="5C5B01D0" w14:textId="77777777" w:rsidR="00137D90" w:rsidRDefault="00137D90" w:rsidP="009C1E9A">
          <w:pPr>
            <w:pStyle w:val="Footer"/>
            <w:tabs>
              <w:tab w:val="clear" w:pos="8640"/>
              <w:tab w:val="right" w:pos="9360"/>
            </w:tabs>
            <w:jc w:val="right"/>
          </w:pPr>
        </w:p>
      </w:tc>
    </w:tr>
    <w:tr w:rsidR="006529DC" w14:paraId="3343ACD7" w14:textId="77777777" w:rsidTr="009C1E9A">
      <w:trPr>
        <w:cantSplit/>
      </w:trPr>
      <w:tc>
        <w:tcPr>
          <w:tcW w:w="0" w:type="pct"/>
        </w:tcPr>
        <w:p w14:paraId="770B63F0" w14:textId="77777777" w:rsidR="00EC379B" w:rsidRDefault="00EC379B" w:rsidP="009C1E9A">
          <w:pPr>
            <w:pStyle w:val="Footer"/>
            <w:tabs>
              <w:tab w:val="clear" w:pos="8640"/>
              <w:tab w:val="right" w:pos="9360"/>
            </w:tabs>
          </w:pPr>
        </w:p>
      </w:tc>
      <w:tc>
        <w:tcPr>
          <w:tcW w:w="2395" w:type="pct"/>
        </w:tcPr>
        <w:p w14:paraId="0B05E52D" w14:textId="1F39EEA8" w:rsidR="00EC379B" w:rsidRPr="009C1E9A" w:rsidRDefault="00803EA3" w:rsidP="009C1E9A">
          <w:pPr>
            <w:pStyle w:val="Footer"/>
            <w:tabs>
              <w:tab w:val="clear" w:pos="8640"/>
              <w:tab w:val="right" w:pos="9360"/>
            </w:tabs>
            <w:rPr>
              <w:rFonts w:ascii="Shruti" w:hAnsi="Shruti"/>
              <w:sz w:val="22"/>
            </w:rPr>
          </w:pPr>
          <w:r>
            <w:rPr>
              <w:rFonts w:ascii="Shruti" w:hAnsi="Shruti"/>
              <w:sz w:val="22"/>
            </w:rPr>
            <w:t>88R 31566-D</w:t>
          </w:r>
        </w:p>
      </w:tc>
      <w:tc>
        <w:tcPr>
          <w:tcW w:w="2453" w:type="pct"/>
        </w:tcPr>
        <w:p w14:paraId="7C35B3E7" w14:textId="116CAC5A" w:rsidR="00EC379B" w:rsidRDefault="00803EA3" w:rsidP="009C1E9A">
          <w:pPr>
            <w:pStyle w:val="Footer"/>
            <w:tabs>
              <w:tab w:val="clear" w:pos="8640"/>
              <w:tab w:val="right" w:pos="9360"/>
            </w:tabs>
            <w:jc w:val="right"/>
          </w:pPr>
          <w:r>
            <w:fldChar w:fldCharType="begin"/>
          </w:r>
          <w:r>
            <w:instrText xml:space="preserve"> DOCPROPERTY  OTID  \* MERGEFORMAT </w:instrText>
          </w:r>
          <w:r>
            <w:fldChar w:fldCharType="separate"/>
          </w:r>
          <w:r w:rsidR="007133A7">
            <w:t>23.139.2018</w:t>
          </w:r>
          <w:r>
            <w:fldChar w:fldCharType="end"/>
          </w:r>
        </w:p>
      </w:tc>
    </w:tr>
    <w:tr w:rsidR="006529DC" w14:paraId="48B730CE" w14:textId="77777777" w:rsidTr="009C1E9A">
      <w:trPr>
        <w:cantSplit/>
      </w:trPr>
      <w:tc>
        <w:tcPr>
          <w:tcW w:w="0" w:type="pct"/>
        </w:tcPr>
        <w:p w14:paraId="464A7AC3" w14:textId="77777777" w:rsidR="00EC379B" w:rsidRDefault="00EC379B" w:rsidP="009C1E9A">
          <w:pPr>
            <w:pStyle w:val="Footer"/>
            <w:tabs>
              <w:tab w:val="clear" w:pos="4320"/>
              <w:tab w:val="clear" w:pos="8640"/>
              <w:tab w:val="left" w:pos="2865"/>
            </w:tabs>
          </w:pPr>
        </w:p>
      </w:tc>
      <w:tc>
        <w:tcPr>
          <w:tcW w:w="2395" w:type="pct"/>
        </w:tcPr>
        <w:p w14:paraId="32546FB2" w14:textId="25DB6DF7" w:rsidR="00EC379B" w:rsidRPr="009C1E9A" w:rsidRDefault="00803EA3" w:rsidP="009C1E9A">
          <w:pPr>
            <w:pStyle w:val="Footer"/>
            <w:tabs>
              <w:tab w:val="clear" w:pos="4320"/>
              <w:tab w:val="clear" w:pos="8640"/>
              <w:tab w:val="left" w:pos="2865"/>
            </w:tabs>
            <w:rPr>
              <w:rFonts w:ascii="Shruti" w:hAnsi="Shruti"/>
              <w:sz w:val="22"/>
            </w:rPr>
          </w:pPr>
          <w:r>
            <w:rPr>
              <w:rFonts w:ascii="Shruti" w:hAnsi="Shruti"/>
              <w:sz w:val="22"/>
            </w:rPr>
            <w:t>Substitute Document Number: 88R 31107</w:t>
          </w:r>
        </w:p>
      </w:tc>
      <w:tc>
        <w:tcPr>
          <w:tcW w:w="2453" w:type="pct"/>
        </w:tcPr>
        <w:p w14:paraId="6C4DC5DF" w14:textId="77777777" w:rsidR="00EC379B" w:rsidRDefault="00EC379B" w:rsidP="006D504F">
          <w:pPr>
            <w:pStyle w:val="Footer"/>
            <w:rPr>
              <w:rStyle w:val="PageNumber"/>
            </w:rPr>
          </w:pPr>
        </w:p>
        <w:p w14:paraId="7EACDD6A" w14:textId="77777777" w:rsidR="00EC379B" w:rsidRDefault="00EC379B" w:rsidP="009C1E9A">
          <w:pPr>
            <w:pStyle w:val="Footer"/>
            <w:tabs>
              <w:tab w:val="clear" w:pos="8640"/>
              <w:tab w:val="right" w:pos="9360"/>
            </w:tabs>
            <w:jc w:val="right"/>
          </w:pPr>
        </w:p>
      </w:tc>
    </w:tr>
    <w:tr w:rsidR="006529DC" w14:paraId="3974FDD6" w14:textId="77777777" w:rsidTr="009C1E9A">
      <w:trPr>
        <w:cantSplit/>
        <w:trHeight w:val="323"/>
      </w:trPr>
      <w:tc>
        <w:tcPr>
          <w:tcW w:w="0" w:type="pct"/>
          <w:gridSpan w:val="3"/>
        </w:tcPr>
        <w:p w14:paraId="36D82E12" w14:textId="77777777" w:rsidR="00EC379B" w:rsidRDefault="00803EA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E6C3D36" w14:textId="77777777" w:rsidR="00EC379B" w:rsidRDefault="00EC379B" w:rsidP="009C1E9A">
          <w:pPr>
            <w:pStyle w:val="Footer"/>
            <w:tabs>
              <w:tab w:val="clear" w:pos="8640"/>
              <w:tab w:val="right" w:pos="9360"/>
            </w:tabs>
            <w:jc w:val="center"/>
          </w:pPr>
        </w:p>
      </w:tc>
    </w:tr>
  </w:tbl>
  <w:p w14:paraId="583ABD9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891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F105" w14:textId="77777777" w:rsidR="00000000" w:rsidRDefault="00803EA3">
      <w:r>
        <w:separator/>
      </w:r>
    </w:p>
  </w:footnote>
  <w:footnote w:type="continuationSeparator" w:id="0">
    <w:p w14:paraId="001D9C55" w14:textId="77777777" w:rsidR="00000000" w:rsidRDefault="0080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ED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73D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7A6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59CF"/>
    <w:multiLevelType w:val="hybridMultilevel"/>
    <w:tmpl w:val="6346C86A"/>
    <w:lvl w:ilvl="0" w:tplc="53C2CA0A">
      <w:start w:val="1"/>
      <w:numFmt w:val="decimal"/>
      <w:lvlText w:val="(%1)"/>
      <w:lvlJc w:val="left"/>
      <w:pPr>
        <w:ind w:left="765" w:hanging="405"/>
      </w:pPr>
      <w:rPr>
        <w:rFonts w:hint="default"/>
      </w:rPr>
    </w:lvl>
    <w:lvl w:ilvl="1" w:tplc="5BAA0E42" w:tentative="1">
      <w:start w:val="1"/>
      <w:numFmt w:val="lowerLetter"/>
      <w:lvlText w:val="%2."/>
      <w:lvlJc w:val="left"/>
      <w:pPr>
        <w:ind w:left="1440" w:hanging="360"/>
      </w:pPr>
    </w:lvl>
    <w:lvl w:ilvl="2" w:tplc="3D4E5E0E" w:tentative="1">
      <w:start w:val="1"/>
      <w:numFmt w:val="lowerRoman"/>
      <w:lvlText w:val="%3."/>
      <w:lvlJc w:val="right"/>
      <w:pPr>
        <w:ind w:left="2160" w:hanging="180"/>
      </w:pPr>
    </w:lvl>
    <w:lvl w:ilvl="3" w:tplc="DD744700" w:tentative="1">
      <w:start w:val="1"/>
      <w:numFmt w:val="decimal"/>
      <w:lvlText w:val="%4."/>
      <w:lvlJc w:val="left"/>
      <w:pPr>
        <w:ind w:left="2880" w:hanging="360"/>
      </w:pPr>
    </w:lvl>
    <w:lvl w:ilvl="4" w:tplc="2C76316C" w:tentative="1">
      <w:start w:val="1"/>
      <w:numFmt w:val="lowerLetter"/>
      <w:lvlText w:val="%5."/>
      <w:lvlJc w:val="left"/>
      <w:pPr>
        <w:ind w:left="3600" w:hanging="360"/>
      </w:pPr>
    </w:lvl>
    <w:lvl w:ilvl="5" w:tplc="5AEA47C2" w:tentative="1">
      <w:start w:val="1"/>
      <w:numFmt w:val="lowerRoman"/>
      <w:lvlText w:val="%6."/>
      <w:lvlJc w:val="right"/>
      <w:pPr>
        <w:ind w:left="4320" w:hanging="180"/>
      </w:pPr>
    </w:lvl>
    <w:lvl w:ilvl="6" w:tplc="4EF22124" w:tentative="1">
      <w:start w:val="1"/>
      <w:numFmt w:val="decimal"/>
      <w:lvlText w:val="%7."/>
      <w:lvlJc w:val="left"/>
      <w:pPr>
        <w:ind w:left="5040" w:hanging="360"/>
      </w:pPr>
    </w:lvl>
    <w:lvl w:ilvl="7" w:tplc="BAA85340" w:tentative="1">
      <w:start w:val="1"/>
      <w:numFmt w:val="lowerLetter"/>
      <w:lvlText w:val="%8."/>
      <w:lvlJc w:val="left"/>
      <w:pPr>
        <w:ind w:left="5760" w:hanging="360"/>
      </w:pPr>
    </w:lvl>
    <w:lvl w:ilvl="8" w:tplc="3B907858" w:tentative="1">
      <w:start w:val="1"/>
      <w:numFmt w:val="lowerRoman"/>
      <w:lvlText w:val="%9."/>
      <w:lvlJc w:val="right"/>
      <w:pPr>
        <w:ind w:left="6480" w:hanging="180"/>
      </w:pPr>
    </w:lvl>
  </w:abstractNum>
  <w:abstractNum w:abstractNumId="1" w15:restartNumberingAfterBreak="0">
    <w:nsid w:val="7ACC34F3"/>
    <w:multiLevelType w:val="hybridMultilevel"/>
    <w:tmpl w:val="0E3455C0"/>
    <w:lvl w:ilvl="0" w:tplc="603E9200">
      <w:start w:val="1"/>
      <w:numFmt w:val="bullet"/>
      <w:lvlText w:val=""/>
      <w:lvlJc w:val="left"/>
      <w:pPr>
        <w:tabs>
          <w:tab w:val="num" w:pos="720"/>
        </w:tabs>
        <w:ind w:left="720" w:hanging="360"/>
      </w:pPr>
      <w:rPr>
        <w:rFonts w:ascii="Symbol" w:hAnsi="Symbol" w:hint="default"/>
      </w:rPr>
    </w:lvl>
    <w:lvl w:ilvl="1" w:tplc="732CDBEE" w:tentative="1">
      <w:start w:val="1"/>
      <w:numFmt w:val="bullet"/>
      <w:lvlText w:val="o"/>
      <w:lvlJc w:val="left"/>
      <w:pPr>
        <w:ind w:left="1440" w:hanging="360"/>
      </w:pPr>
      <w:rPr>
        <w:rFonts w:ascii="Courier New" w:hAnsi="Courier New" w:cs="Courier New" w:hint="default"/>
      </w:rPr>
    </w:lvl>
    <w:lvl w:ilvl="2" w:tplc="E7728A2A" w:tentative="1">
      <w:start w:val="1"/>
      <w:numFmt w:val="bullet"/>
      <w:lvlText w:val=""/>
      <w:lvlJc w:val="left"/>
      <w:pPr>
        <w:ind w:left="2160" w:hanging="360"/>
      </w:pPr>
      <w:rPr>
        <w:rFonts w:ascii="Wingdings" w:hAnsi="Wingdings" w:hint="default"/>
      </w:rPr>
    </w:lvl>
    <w:lvl w:ilvl="3" w:tplc="1340F6A4" w:tentative="1">
      <w:start w:val="1"/>
      <w:numFmt w:val="bullet"/>
      <w:lvlText w:val=""/>
      <w:lvlJc w:val="left"/>
      <w:pPr>
        <w:ind w:left="2880" w:hanging="360"/>
      </w:pPr>
      <w:rPr>
        <w:rFonts w:ascii="Symbol" w:hAnsi="Symbol" w:hint="default"/>
      </w:rPr>
    </w:lvl>
    <w:lvl w:ilvl="4" w:tplc="BAB6768C" w:tentative="1">
      <w:start w:val="1"/>
      <w:numFmt w:val="bullet"/>
      <w:lvlText w:val="o"/>
      <w:lvlJc w:val="left"/>
      <w:pPr>
        <w:ind w:left="3600" w:hanging="360"/>
      </w:pPr>
      <w:rPr>
        <w:rFonts w:ascii="Courier New" w:hAnsi="Courier New" w:cs="Courier New" w:hint="default"/>
      </w:rPr>
    </w:lvl>
    <w:lvl w:ilvl="5" w:tplc="717C3498" w:tentative="1">
      <w:start w:val="1"/>
      <w:numFmt w:val="bullet"/>
      <w:lvlText w:val=""/>
      <w:lvlJc w:val="left"/>
      <w:pPr>
        <w:ind w:left="4320" w:hanging="360"/>
      </w:pPr>
      <w:rPr>
        <w:rFonts w:ascii="Wingdings" w:hAnsi="Wingdings" w:hint="default"/>
      </w:rPr>
    </w:lvl>
    <w:lvl w:ilvl="6" w:tplc="FE9096D8" w:tentative="1">
      <w:start w:val="1"/>
      <w:numFmt w:val="bullet"/>
      <w:lvlText w:val=""/>
      <w:lvlJc w:val="left"/>
      <w:pPr>
        <w:ind w:left="5040" w:hanging="360"/>
      </w:pPr>
      <w:rPr>
        <w:rFonts w:ascii="Symbol" w:hAnsi="Symbol" w:hint="default"/>
      </w:rPr>
    </w:lvl>
    <w:lvl w:ilvl="7" w:tplc="7750D936" w:tentative="1">
      <w:start w:val="1"/>
      <w:numFmt w:val="bullet"/>
      <w:lvlText w:val="o"/>
      <w:lvlJc w:val="left"/>
      <w:pPr>
        <w:ind w:left="5760" w:hanging="360"/>
      </w:pPr>
      <w:rPr>
        <w:rFonts w:ascii="Courier New" w:hAnsi="Courier New" w:cs="Courier New" w:hint="default"/>
      </w:rPr>
    </w:lvl>
    <w:lvl w:ilvl="8" w:tplc="823CCDE4" w:tentative="1">
      <w:start w:val="1"/>
      <w:numFmt w:val="bullet"/>
      <w:lvlText w:val=""/>
      <w:lvlJc w:val="left"/>
      <w:pPr>
        <w:ind w:left="6480" w:hanging="360"/>
      </w:pPr>
      <w:rPr>
        <w:rFonts w:ascii="Wingdings" w:hAnsi="Wingdings" w:hint="default"/>
      </w:rPr>
    </w:lvl>
  </w:abstractNum>
  <w:num w:numId="1" w16cid:durableId="701515684">
    <w:abstractNumId w:val="1"/>
  </w:num>
  <w:num w:numId="2" w16cid:durableId="191446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5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45C"/>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68C"/>
    <w:rsid w:val="00064BF2"/>
    <w:rsid w:val="000667BA"/>
    <w:rsid w:val="000676A7"/>
    <w:rsid w:val="00073914"/>
    <w:rsid w:val="00074236"/>
    <w:rsid w:val="000746BD"/>
    <w:rsid w:val="00076D7D"/>
    <w:rsid w:val="00080D95"/>
    <w:rsid w:val="000817E4"/>
    <w:rsid w:val="00090E6B"/>
    <w:rsid w:val="00091B2C"/>
    <w:rsid w:val="00092ABC"/>
    <w:rsid w:val="00097AAF"/>
    <w:rsid w:val="00097D13"/>
    <w:rsid w:val="000A0FFF"/>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5F6"/>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4F09"/>
    <w:rsid w:val="00195257"/>
    <w:rsid w:val="00195388"/>
    <w:rsid w:val="0019539E"/>
    <w:rsid w:val="001968BC"/>
    <w:rsid w:val="001A0739"/>
    <w:rsid w:val="001A0F00"/>
    <w:rsid w:val="001A2BDD"/>
    <w:rsid w:val="001A3DDF"/>
    <w:rsid w:val="001A4310"/>
    <w:rsid w:val="001B053A"/>
    <w:rsid w:val="001B1A5C"/>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34"/>
    <w:rsid w:val="0022177D"/>
    <w:rsid w:val="002242DA"/>
    <w:rsid w:val="00224C37"/>
    <w:rsid w:val="002304DF"/>
    <w:rsid w:val="0023341D"/>
    <w:rsid w:val="002338DA"/>
    <w:rsid w:val="00233D66"/>
    <w:rsid w:val="00233FDB"/>
    <w:rsid w:val="00234F58"/>
    <w:rsid w:val="0023507D"/>
    <w:rsid w:val="0024077A"/>
    <w:rsid w:val="00241EC1"/>
    <w:rsid w:val="002431DA"/>
    <w:rsid w:val="00246891"/>
    <w:rsid w:val="0024691D"/>
    <w:rsid w:val="00247D27"/>
    <w:rsid w:val="00250A50"/>
    <w:rsid w:val="00251ED5"/>
    <w:rsid w:val="0025518E"/>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D5C"/>
    <w:rsid w:val="00280123"/>
    <w:rsid w:val="00281343"/>
    <w:rsid w:val="00281883"/>
    <w:rsid w:val="002874E3"/>
    <w:rsid w:val="00287656"/>
    <w:rsid w:val="00291518"/>
    <w:rsid w:val="00296FF0"/>
    <w:rsid w:val="002A1442"/>
    <w:rsid w:val="002A17C0"/>
    <w:rsid w:val="002A48DF"/>
    <w:rsid w:val="002A5A84"/>
    <w:rsid w:val="002A6E6F"/>
    <w:rsid w:val="002A74E4"/>
    <w:rsid w:val="002A7CFE"/>
    <w:rsid w:val="002B26DD"/>
    <w:rsid w:val="002B2870"/>
    <w:rsid w:val="002B391B"/>
    <w:rsid w:val="002B5B42"/>
    <w:rsid w:val="002B7BA7"/>
    <w:rsid w:val="002B7EA3"/>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3EA"/>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DB6"/>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5C3"/>
    <w:rsid w:val="003847E8"/>
    <w:rsid w:val="0038731D"/>
    <w:rsid w:val="00387B60"/>
    <w:rsid w:val="00390098"/>
    <w:rsid w:val="00392DA1"/>
    <w:rsid w:val="00393718"/>
    <w:rsid w:val="003A0296"/>
    <w:rsid w:val="003A0E52"/>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7E2"/>
    <w:rsid w:val="003F6326"/>
    <w:rsid w:val="003F77F8"/>
    <w:rsid w:val="00400ACD"/>
    <w:rsid w:val="00403B15"/>
    <w:rsid w:val="00403E8A"/>
    <w:rsid w:val="004101E4"/>
    <w:rsid w:val="00410661"/>
    <w:rsid w:val="004108C3"/>
    <w:rsid w:val="00410B33"/>
    <w:rsid w:val="004120CC"/>
    <w:rsid w:val="00412ED2"/>
    <w:rsid w:val="00412F0F"/>
    <w:rsid w:val="004134CE"/>
    <w:rsid w:val="004136A8"/>
    <w:rsid w:val="004140AE"/>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07A"/>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A89"/>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7F8"/>
    <w:rsid w:val="005017AC"/>
    <w:rsid w:val="00501E8A"/>
    <w:rsid w:val="00505121"/>
    <w:rsid w:val="00505C04"/>
    <w:rsid w:val="00505CFA"/>
    <w:rsid w:val="00505F1B"/>
    <w:rsid w:val="005073E8"/>
    <w:rsid w:val="00510503"/>
    <w:rsid w:val="0051324D"/>
    <w:rsid w:val="00515466"/>
    <w:rsid w:val="005154F7"/>
    <w:rsid w:val="005159DE"/>
    <w:rsid w:val="00517C6B"/>
    <w:rsid w:val="005269CE"/>
    <w:rsid w:val="005304B2"/>
    <w:rsid w:val="005336BD"/>
    <w:rsid w:val="00534A49"/>
    <w:rsid w:val="005363BB"/>
    <w:rsid w:val="00537725"/>
    <w:rsid w:val="00541B98"/>
    <w:rsid w:val="00543374"/>
    <w:rsid w:val="00545548"/>
    <w:rsid w:val="00546923"/>
    <w:rsid w:val="00551CA6"/>
    <w:rsid w:val="00555034"/>
    <w:rsid w:val="005570D2"/>
    <w:rsid w:val="00561528"/>
    <w:rsid w:val="0056153F"/>
    <w:rsid w:val="00561B14"/>
    <w:rsid w:val="00562C87"/>
    <w:rsid w:val="005636BD"/>
    <w:rsid w:val="0056558D"/>
    <w:rsid w:val="005666D5"/>
    <w:rsid w:val="005669A7"/>
    <w:rsid w:val="00573401"/>
    <w:rsid w:val="00576714"/>
    <w:rsid w:val="0057685A"/>
    <w:rsid w:val="005832EE"/>
    <w:rsid w:val="005847EF"/>
    <w:rsid w:val="005851E6"/>
    <w:rsid w:val="005878B7"/>
    <w:rsid w:val="005928EE"/>
    <w:rsid w:val="00592C9A"/>
    <w:rsid w:val="00593DF8"/>
    <w:rsid w:val="00595745"/>
    <w:rsid w:val="005A0E18"/>
    <w:rsid w:val="005A115F"/>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080"/>
    <w:rsid w:val="005D767D"/>
    <w:rsid w:val="005D7A30"/>
    <w:rsid w:val="005D7D3B"/>
    <w:rsid w:val="005E1999"/>
    <w:rsid w:val="005E232C"/>
    <w:rsid w:val="005E2B83"/>
    <w:rsid w:val="005E4AEB"/>
    <w:rsid w:val="005E59F6"/>
    <w:rsid w:val="005E738F"/>
    <w:rsid w:val="005E788B"/>
    <w:rsid w:val="005F1519"/>
    <w:rsid w:val="005F4862"/>
    <w:rsid w:val="005F5679"/>
    <w:rsid w:val="005F5FDF"/>
    <w:rsid w:val="005F6960"/>
    <w:rsid w:val="005F6DF3"/>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9DC"/>
    <w:rsid w:val="0066053C"/>
    <w:rsid w:val="006615DF"/>
    <w:rsid w:val="00662B77"/>
    <w:rsid w:val="00662D0E"/>
    <w:rsid w:val="00663265"/>
    <w:rsid w:val="0066345F"/>
    <w:rsid w:val="006642F4"/>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971"/>
    <w:rsid w:val="006D3005"/>
    <w:rsid w:val="006D504F"/>
    <w:rsid w:val="006E0CAC"/>
    <w:rsid w:val="006E1CFB"/>
    <w:rsid w:val="006E1F94"/>
    <w:rsid w:val="006E26C1"/>
    <w:rsid w:val="006E30A8"/>
    <w:rsid w:val="006E45B0"/>
    <w:rsid w:val="006E5692"/>
    <w:rsid w:val="006F0BA1"/>
    <w:rsid w:val="006F365D"/>
    <w:rsid w:val="006F4BB0"/>
    <w:rsid w:val="007031BD"/>
    <w:rsid w:val="00703E80"/>
    <w:rsid w:val="00705276"/>
    <w:rsid w:val="007066A0"/>
    <w:rsid w:val="007075FB"/>
    <w:rsid w:val="0070787B"/>
    <w:rsid w:val="0071131D"/>
    <w:rsid w:val="00711E3D"/>
    <w:rsid w:val="00711E85"/>
    <w:rsid w:val="00712DDA"/>
    <w:rsid w:val="007133A7"/>
    <w:rsid w:val="00717739"/>
    <w:rsid w:val="00717DE4"/>
    <w:rsid w:val="00721724"/>
    <w:rsid w:val="00722EC5"/>
    <w:rsid w:val="00723326"/>
    <w:rsid w:val="00724252"/>
    <w:rsid w:val="00727E7A"/>
    <w:rsid w:val="0073163C"/>
    <w:rsid w:val="00731DE3"/>
    <w:rsid w:val="00735B9D"/>
    <w:rsid w:val="007365A5"/>
    <w:rsid w:val="00736BC2"/>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66A"/>
    <w:rsid w:val="007E2E21"/>
    <w:rsid w:val="007E33B6"/>
    <w:rsid w:val="007E59E8"/>
    <w:rsid w:val="007F3861"/>
    <w:rsid w:val="007F4162"/>
    <w:rsid w:val="007F53FC"/>
    <w:rsid w:val="007F5441"/>
    <w:rsid w:val="007F7668"/>
    <w:rsid w:val="00800C63"/>
    <w:rsid w:val="00802243"/>
    <w:rsid w:val="008023D4"/>
    <w:rsid w:val="00803EA3"/>
    <w:rsid w:val="00804124"/>
    <w:rsid w:val="00805402"/>
    <w:rsid w:val="0080765F"/>
    <w:rsid w:val="00812BE3"/>
    <w:rsid w:val="00814516"/>
    <w:rsid w:val="00815C9D"/>
    <w:rsid w:val="008170E2"/>
    <w:rsid w:val="00823E4C"/>
    <w:rsid w:val="00826EBA"/>
    <w:rsid w:val="00827749"/>
    <w:rsid w:val="00827B7E"/>
    <w:rsid w:val="00830EEB"/>
    <w:rsid w:val="008347A9"/>
    <w:rsid w:val="00835628"/>
    <w:rsid w:val="00835E90"/>
    <w:rsid w:val="0084176D"/>
    <w:rsid w:val="008423E4"/>
    <w:rsid w:val="00842900"/>
    <w:rsid w:val="00850CF0"/>
    <w:rsid w:val="00851869"/>
    <w:rsid w:val="00851C04"/>
    <w:rsid w:val="00852E85"/>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13"/>
    <w:rsid w:val="008C132C"/>
    <w:rsid w:val="008C3E73"/>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4D7"/>
    <w:rsid w:val="00925CE1"/>
    <w:rsid w:val="00925F5C"/>
    <w:rsid w:val="00930897"/>
    <w:rsid w:val="00931A88"/>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0B1"/>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BD1"/>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4C35"/>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CBF"/>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5BF9"/>
    <w:rsid w:val="00B26437"/>
    <w:rsid w:val="00B2678E"/>
    <w:rsid w:val="00B30647"/>
    <w:rsid w:val="00B31F0E"/>
    <w:rsid w:val="00B3450E"/>
    <w:rsid w:val="00B34F25"/>
    <w:rsid w:val="00B43672"/>
    <w:rsid w:val="00B473D8"/>
    <w:rsid w:val="00B5165A"/>
    <w:rsid w:val="00B524C1"/>
    <w:rsid w:val="00B52C8D"/>
    <w:rsid w:val="00B545D9"/>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2F0"/>
    <w:rsid w:val="00B95BC8"/>
    <w:rsid w:val="00B96E87"/>
    <w:rsid w:val="00BA146A"/>
    <w:rsid w:val="00BA32EE"/>
    <w:rsid w:val="00BA635C"/>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056"/>
    <w:rsid w:val="00C05406"/>
    <w:rsid w:val="00C05CF0"/>
    <w:rsid w:val="00C119AC"/>
    <w:rsid w:val="00C14EE6"/>
    <w:rsid w:val="00C151DA"/>
    <w:rsid w:val="00C152A1"/>
    <w:rsid w:val="00C16CCB"/>
    <w:rsid w:val="00C2142B"/>
    <w:rsid w:val="00C22987"/>
    <w:rsid w:val="00C23956"/>
    <w:rsid w:val="00C248E6"/>
    <w:rsid w:val="00C2766F"/>
    <w:rsid w:val="00C3171F"/>
    <w:rsid w:val="00C3223B"/>
    <w:rsid w:val="00C3320E"/>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059"/>
    <w:rsid w:val="00D11B0B"/>
    <w:rsid w:val="00D12A3E"/>
    <w:rsid w:val="00D22160"/>
    <w:rsid w:val="00D22172"/>
    <w:rsid w:val="00D2301B"/>
    <w:rsid w:val="00D239EE"/>
    <w:rsid w:val="00D25C65"/>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656"/>
    <w:rsid w:val="00D83072"/>
    <w:rsid w:val="00D83ABC"/>
    <w:rsid w:val="00D84870"/>
    <w:rsid w:val="00D91B92"/>
    <w:rsid w:val="00D926B3"/>
    <w:rsid w:val="00D92F63"/>
    <w:rsid w:val="00D93DCD"/>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8D1"/>
    <w:rsid w:val="00E15F90"/>
    <w:rsid w:val="00E16D3E"/>
    <w:rsid w:val="00E17167"/>
    <w:rsid w:val="00E20520"/>
    <w:rsid w:val="00E21D55"/>
    <w:rsid w:val="00E21FDC"/>
    <w:rsid w:val="00E2551E"/>
    <w:rsid w:val="00E26B13"/>
    <w:rsid w:val="00E27E5A"/>
    <w:rsid w:val="00E31135"/>
    <w:rsid w:val="00E317BA"/>
    <w:rsid w:val="00E31DA8"/>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7A6"/>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D97"/>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DD0"/>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6D8"/>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16F9"/>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E896ED-C2C8-41BA-B57D-5C4B0467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8C1313"/>
    <w:pPr>
      <w:ind w:left="720"/>
      <w:contextualSpacing/>
    </w:pPr>
  </w:style>
  <w:style w:type="character" w:styleId="CommentReference">
    <w:name w:val="annotation reference"/>
    <w:basedOn w:val="DefaultParagraphFont"/>
    <w:semiHidden/>
    <w:unhideWhenUsed/>
    <w:rsid w:val="008C1313"/>
    <w:rPr>
      <w:sz w:val="16"/>
      <w:szCs w:val="16"/>
    </w:rPr>
  </w:style>
  <w:style w:type="paragraph" w:styleId="CommentText">
    <w:name w:val="annotation text"/>
    <w:basedOn w:val="Normal"/>
    <w:link w:val="CommentTextChar"/>
    <w:semiHidden/>
    <w:unhideWhenUsed/>
    <w:rsid w:val="008C1313"/>
    <w:rPr>
      <w:sz w:val="20"/>
      <w:szCs w:val="20"/>
    </w:rPr>
  </w:style>
  <w:style w:type="character" w:customStyle="1" w:styleId="CommentTextChar">
    <w:name w:val="Comment Text Char"/>
    <w:basedOn w:val="DefaultParagraphFont"/>
    <w:link w:val="CommentText"/>
    <w:semiHidden/>
    <w:rsid w:val="008C1313"/>
  </w:style>
  <w:style w:type="paragraph" w:styleId="CommentSubject">
    <w:name w:val="annotation subject"/>
    <w:basedOn w:val="CommentText"/>
    <w:next w:val="CommentText"/>
    <w:link w:val="CommentSubjectChar"/>
    <w:semiHidden/>
    <w:unhideWhenUsed/>
    <w:rsid w:val="008C1313"/>
    <w:rPr>
      <w:b/>
      <w:bCs/>
    </w:rPr>
  </w:style>
  <w:style w:type="character" w:customStyle="1" w:styleId="CommentSubjectChar">
    <w:name w:val="Comment Subject Char"/>
    <w:basedOn w:val="CommentTextChar"/>
    <w:link w:val="CommentSubject"/>
    <w:semiHidden/>
    <w:rsid w:val="008C1313"/>
    <w:rPr>
      <w:b/>
      <w:bCs/>
    </w:rPr>
  </w:style>
  <w:style w:type="paragraph" w:styleId="Revision">
    <w:name w:val="Revision"/>
    <w:hidden/>
    <w:uiPriority w:val="99"/>
    <w:semiHidden/>
    <w:rsid w:val="00221734"/>
    <w:rPr>
      <w:sz w:val="24"/>
      <w:szCs w:val="24"/>
    </w:rPr>
  </w:style>
  <w:style w:type="character" w:styleId="Hyperlink">
    <w:name w:val="Hyperlink"/>
    <w:basedOn w:val="DefaultParagraphFont"/>
    <w:unhideWhenUsed/>
    <w:rsid w:val="00931A88"/>
    <w:rPr>
      <w:color w:val="0000FF" w:themeColor="hyperlink"/>
      <w:u w:val="single"/>
    </w:rPr>
  </w:style>
  <w:style w:type="character" w:customStyle="1" w:styleId="UnresolvedMention1">
    <w:name w:val="Unresolved Mention1"/>
    <w:basedOn w:val="DefaultParagraphFont"/>
    <w:uiPriority w:val="99"/>
    <w:semiHidden/>
    <w:unhideWhenUsed/>
    <w:rsid w:val="00931A88"/>
    <w:rPr>
      <w:color w:val="605E5C"/>
      <w:shd w:val="clear" w:color="auto" w:fill="E1DFDD"/>
    </w:rPr>
  </w:style>
  <w:style w:type="character" w:styleId="FollowedHyperlink">
    <w:name w:val="FollowedHyperlink"/>
    <w:basedOn w:val="DefaultParagraphFont"/>
    <w:semiHidden/>
    <w:unhideWhenUsed/>
    <w:rsid w:val="00321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4729</Characters>
  <Application>Microsoft Office Word</Application>
  <DocSecurity>4</DocSecurity>
  <Lines>103</Lines>
  <Paragraphs>32</Paragraphs>
  <ScaleCrop>false</ScaleCrop>
  <HeadingPairs>
    <vt:vector size="2" baseType="variant">
      <vt:variant>
        <vt:lpstr>Title</vt:lpstr>
      </vt:variant>
      <vt:variant>
        <vt:i4>1</vt:i4>
      </vt:variant>
    </vt:vector>
  </HeadingPairs>
  <TitlesOfParts>
    <vt:vector size="1" baseType="lpstr">
      <vt:lpstr>BA - SB00114 (Committee Report (Substituted))</vt:lpstr>
    </vt:vector>
  </TitlesOfParts>
  <Company>State of Texas</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31566</dc:subject>
  <dc:creator>State of Texas</dc:creator>
  <dc:description>SB 114 by Menéndez-(H)State Affairs (Substitute Document Number: 88R 31107)</dc:description>
  <cp:lastModifiedBy>Damian Duarte</cp:lastModifiedBy>
  <cp:revision>2</cp:revision>
  <cp:lastPrinted>2003-11-26T17:21:00Z</cp:lastPrinted>
  <dcterms:created xsi:type="dcterms:W3CDTF">2023-05-20T18:40:00Z</dcterms:created>
  <dcterms:modified xsi:type="dcterms:W3CDTF">2023-05-20T18:40:00Z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23.139.2018</vt:lpwstr>
  </property>
</Properties>
</file>