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301" w:rsidRDefault="004B63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A7901802C24DDBB7B727EA09A48456"/>
          </w:placeholder>
        </w:sdtPr>
        <w:sdtContent>
          <w:r w:rsidRPr="005C2A78">
            <w:rPr>
              <w:rFonts w:cs="Times New Roman"/>
              <w:b/>
              <w:szCs w:val="24"/>
              <w:u w:val="single"/>
            </w:rPr>
            <w:t>BILL ANALYSIS</w:t>
          </w:r>
        </w:sdtContent>
      </w:sdt>
    </w:p>
    <w:p w:rsidR="004B6301" w:rsidRPr="00585C31" w:rsidRDefault="004B6301" w:rsidP="000F1DF9">
      <w:pPr>
        <w:spacing w:after="0" w:line="240" w:lineRule="auto"/>
        <w:rPr>
          <w:rFonts w:cs="Times New Roman"/>
          <w:szCs w:val="24"/>
        </w:rPr>
      </w:pPr>
    </w:p>
    <w:p w:rsidR="004B6301" w:rsidRPr="00585C31" w:rsidRDefault="004B63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6301" w:rsidTr="000F1DF9">
        <w:tc>
          <w:tcPr>
            <w:tcW w:w="2718" w:type="dxa"/>
          </w:tcPr>
          <w:p w:rsidR="004B6301" w:rsidRPr="005C2A78" w:rsidRDefault="004B6301" w:rsidP="006D756B">
            <w:pPr>
              <w:rPr>
                <w:rFonts w:cs="Times New Roman"/>
                <w:szCs w:val="24"/>
              </w:rPr>
            </w:pPr>
            <w:sdt>
              <w:sdtPr>
                <w:rPr>
                  <w:rFonts w:cs="Times New Roman"/>
                  <w:szCs w:val="24"/>
                </w:rPr>
                <w:alias w:val="Agency Title"/>
                <w:tag w:val="AgencyTitleContentControl"/>
                <w:id w:val="1920747753"/>
                <w:lock w:val="sdtContentLocked"/>
                <w:placeholder>
                  <w:docPart w:val="573A93E71D084D9EBCBCB397DE30BBED"/>
                </w:placeholder>
              </w:sdtPr>
              <w:sdtEndPr>
                <w:rPr>
                  <w:rFonts w:cstheme="minorBidi"/>
                  <w:szCs w:val="22"/>
                </w:rPr>
              </w:sdtEndPr>
              <w:sdtContent>
                <w:r>
                  <w:rPr>
                    <w:rFonts w:cs="Times New Roman"/>
                    <w:szCs w:val="24"/>
                  </w:rPr>
                  <w:t>Senate Research Center</w:t>
                </w:r>
              </w:sdtContent>
            </w:sdt>
          </w:p>
        </w:tc>
        <w:tc>
          <w:tcPr>
            <w:tcW w:w="6858" w:type="dxa"/>
          </w:tcPr>
          <w:p w:rsidR="004B6301" w:rsidRPr="00FF6471" w:rsidRDefault="004B6301" w:rsidP="000F1DF9">
            <w:pPr>
              <w:jc w:val="right"/>
              <w:rPr>
                <w:rFonts w:cs="Times New Roman"/>
                <w:szCs w:val="24"/>
              </w:rPr>
            </w:pPr>
            <w:sdt>
              <w:sdtPr>
                <w:rPr>
                  <w:rFonts w:cs="Times New Roman"/>
                  <w:szCs w:val="24"/>
                </w:rPr>
                <w:alias w:val="Bill Number"/>
                <w:tag w:val="BillNumberOne"/>
                <w:id w:val="-410784069"/>
                <w:lock w:val="sdtContentLocked"/>
                <w:placeholder>
                  <w:docPart w:val="5195ECD62DB5449095E2F760BAB56019"/>
                </w:placeholder>
              </w:sdtPr>
              <w:sdtContent>
                <w:r>
                  <w:rPr>
                    <w:rFonts w:cs="Times New Roman"/>
                    <w:szCs w:val="24"/>
                  </w:rPr>
                  <w:t>C.S.S.B. 114</w:t>
                </w:r>
              </w:sdtContent>
            </w:sdt>
          </w:p>
        </w:tc>
      </w:tr>
      <w:tr w:rsidR="004B6301" w:rsidTr="000F1DF9">
        <w:sdt>
          <w:sdtPr>
            <w:rPr>
              <w:rFonts w:cs="Times New Roman"/>
              <w:szCs w:val="24"/>
            </w:rPr>
            <w:alias w:val="TLCNumber"/>
            <w:tag w:val="TLCNumber"/>
            <w:id w:val="-542600604"/>
            <w:lock w:val="sdtLocked"/>
            <w:placeholder>
              <w:docPart w:val="19036C42152B4664B0A64AF1594C26B4"/>
            </w:placeholder>
          </w:sdtPr>
          <w:sdtContent>
            <w:tc>
              <w:tcPr>
                <w:tcW w:w="2718" w:type="dxa"/>
              </w:tcPr>
              <w:p w:rsidR="004B6301" w:rsidRPr="000F1DF9" w:rsidRDefault="004B6301" w:rsidP="00C65088">
                <w:pPr>
                  <w:rPr>
                    <w:rFonts w:cs="Times New Roman"/>
                    <w:szCs w:val="24"/>
                  </w:rPr>
                </w:pPr>
                <w:r>
                  <w:rPr>
                    <w:rFonts w:cs="Times New Roman"/>
                    <w:szCs w:val="24"/>
                  </w:rPr>
                  <w:t>88R25740 DIO-F</w:t>
                </w:r>
              </w:p>
            </w:tc>
          </w:sdtContent>
        </w:sdt>
        <w:tc>
          <w:tcPr>
            <w:tcW w:w="6858" w:type="dxa"/>
          </w:tcPr>
          <w:p w:rsidR="004B6301" w:rsidRPr="005C2A78" w:rsidRDefault="004B6301" w:rsidP="00073EDD">
            <w:pPr>
              <w:jc w:val="right"/>
              <w:rPr>
                <w:rFonts w:cs="Times New Roman"/>
                <w:szCs w:val="24"/>
              </w:rPr>
            </w:pPr>
            <w:sdt>
              <w:sdtPr>
                <w:rPr>
                  <w:rFonts w:cs="Times New Roman"/>
                  <w:szCs w:val="24"/>
                </w:rPr>
                <w:alias w:val="Author Label"/>
                <w:tag w:val="By"/>
                <w:id w:val="72399597"/>
                <w:lock w:val="sdtLocked"/>
                <w:placeholder>
                  <w:docPart w:val="65CA9CE062A4409988F5EFF0283173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7D774B362E4DFAB2E5727A7B29524F"/>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F8233E457DB244E28D6F374605DA2BC1"/>
                </w:placeholder>
                <w:showingPlcHdr/>
              </w:sdtPr>
              <w:sdtContent/>
            </w:sdt>
            <w:sdt>
              <w:sdtPr>
                <w:rPr>
                  <w:rFonts w:cs="Times New Roman"/>
                  <w:szCs w:val="24"/>
                </w:rPr>
                <w:alias w:val="DualSponsor"/>
                <w:tag w:val="DualSponsor"/>
                <w:id w:val="1029379812"/>
                <w:lock w:val="sdtContentLocked"/>
                <w:placeholder>
                  <w:docPart w:val="73603FBF48264829B2D7A39906A04583"/>
                </w:placeholder>
                <w:showingPlcHdr/>
              </w:sdtPr>
              <w:sdtContent/>
            </w:sdt>
          </w:p>
        </w:tc>
      </w:tr>
      <w:tr w:rsidR="004B6301" w:rsidTr="000F1DF9">
        <w:tc>
          <w:tcPr>
            <w:tcW w:w="2718" w:type="dxa"/>
          </w:tcPr>
          <w:p w:rsidR="004B6301" w:rsidRPr="00BC7495" w:rsidRDefault="004B6301" w:rsidP="000F1DF9">
            <w:pPr>
              <w:rPr>
                <w:rFonts w:cs="Times New Roman"/>
                <w:szCs w:val="24"/>
              </w:rPr>
            </w:pPr>
          </w:p>
        </w:tc>
        <w:sdt>
          <w:sdtPr>
            <w:rPr>
              <w:rFonts w:cs="Times New Roman"/>
              <w:szCs w:val="24"/>
            </w:rPr>
            <w:alias w:val="Committee"/>
            <w:tag w:val="Committee"/>
            <w:id w:val="1914272295"/>
            <w:lock w:val="sdtContentLocked"/>
            <w:placeholder>
              <w:docPart w:val="B66AE2473D28414DA227207E257613DF"/>
            </w:placeholder>
          </w:sdtPr>
          <w:sdtContent>
            <w:tc>
              <w:tcPr>
                <w:tcW w:w="6858" w:type="dxa"/>
              </w:tcPr>
              <w:p w:rsidR="004B6301" w:rsidRPr="00FF6471" w:rsidRDefault="004B6301" w:rsidP="000F1DF9">
                <w:pPr>
                  <w:jc w:val="right"/>
                  <w:rPr>
                    <w:rFonts w:cs="Times New Roman"/>
                    <w:szCs w:val="24"/>
                  </w:rPr>
                </w:pPr>
                <w:r>
                  <w:rPr>
                    <w:rFonts w:cs="Times New Roman"/>
                    <w:szCs w:val="24"/>
                  </w:rPr>
                  <w:t>Business &amp; Commerce</w:t>
                </w:r>
              </w:p>
            </w:tc>
          </w:sdtContent>
        </w:sdt>
      </w:tr>
      <w:tr w:rsidR="004B6301" w:rsidTr="000F1DF9">
        <w:tc>
          <w:tcPr>
            <w:tcW w:w="2718" w:type="dxa"/>
          </w:tcPr>
          <w:p w:rsidR="004B6301" w:rsidRPr="00BC7495" w:rsidRDefault="004B6301" w:rsidP="000F1DF9">
            <w:pPr>
              <w:rPr>
                <w:rFonts w:cs="Times New Roman"/>
                <w:szCs w:val="24"/>
              </w:rPr>
            </w:pPr>
          </w:p>
        </w:tc>
        <w:sdt>
          <w:sdtPr>
            <w:rPr>
              <w:rFonts w:cs="Times New Roman"/>
              <w:szCs w:val="24"/>
            </w:rPr>
            <w:alias w:val="Date"/>
            <w:tag w:val="DateContentControl"/>
            <w:id w:val="1178081906"/>
            <w:lock w:val="sdtLocked"/>
            <w:placeholder>
              <w:docPart w:val="3AAA6AEA1AB143B58FC23ADB1E64E0CA"/>
            </w:placeholder>
            <w:date w:fullDate="2023-04-26T00:00:00Z">
              <w:dateFormat w:val="M/d/yyyy"/>
              <w:lid w:val="en-US"/>
              <w:storeMappedDataAs w:val="dateTime"/>
              <w:calendar w:val="gregorian"/>
            </w:date>
          </w:sdtPr>
          <w:sdtContent>
            <w:tc>
              <w:tcPr>
                <w:tcW w:w="6858" w:type="dxa"/>
              </w:tcPr>
              <w:p w:rsidR="004B6301" w:rsidRPr="00FF6471" w:rsidRDefault="004B6301" w:rsidP="000F1DF9">
                <w:pPr>
                  <w:jc w:val="right"/>
                  <w:rPr>
                    <w:rFonts w:cs="Times New Roman"/>
                    <w:szCs w:val="24"/>
                  </w:rPr>
                </w:pPr>
                <w:r>
                  <w:rPr>
                    <w:rFonts w:cs="Times New Roman"/>
                    <w:szCs w:val="24"/>
                  </w:rPr>
                  <w:t>4/26/2023</w:t>
                </w:r>
              </w:p>
            </w:tc>
          </w:sdtContent>
        </w:sdt>
      </w:tr>
      <w:tr w:rsidR="004B6301" w:rsidTr="000F1DF9">
        <w:tc>
          <w:tcPr>
            <w:tcW w:w="2718" w:type="dxa"/>
          </w:tcPr>
          <w:p w:rsidR="004B6301" w:rsidRPr="00BC7495" w:rsidRDefault="004B6301" w:rsidP="000F1DF9">
            <w:pPr>
              <w:rPr>
                <w:rFonts w:cs="Times New Roman"/>
                <w:szCs w:val="24"/>
              </w:rPr>
            </w:pPr>
          </w:p>
        </w:tc>
        <w:sdt>
          <w:sdtPr>
            <w:rPr>
              <w:rFonts w:cs="Times New Roman"/>
              <w:szCs w:val="24"/>
            </w:rPr>
            <w:alias w:val="BA Version"/>
            <w:tag w:val="BAVersion"/>
            <w:id w:val="-1685590809"/>
            <w:lock w:val="sdtContentLocked"/>
            <w:placeholder>
              <w:docPart w:val="CD0CCFE925104A8D8C89CC4A79CC982A"/>
            </w:placeholder>
          </w:sdtPr>
          <w:sdtContent>
            <w:tc>
              <w:tcPr>
                <w:tcW w:w="6858" w:type="dxa"/>
              </w:tcPr>
              <w:p w:rsidR="004B6301" w:rsidRPr="00FF6471" w:rsidRDefault="004B6301" w:rsidP="000F1DF9">
                <w:pPr>
                  <w:jc w:val="right"/>
                  <w:rPr>
                    <w:rFonts w:cs="Times New Roman"/>
                    <w:szCs w:val="24"/>
                  </w:rPr>
                </w:pPr>
                <w:r>
                  <w:rPr>
                    <w:rFonts w:cs="Times New Roman"/>
                    <w:szCs w:val="24"/>
                  </w:rPr>
                  <w:t>Committee Report (Substituted)</w:t>
                </w:r>
              </w:p>
            </w:tc>
          </w:sdtContent>
        </w:sdt>
      </w:tr>
    </w:tbl>
    <w:p w:rsidR="004B6301" w:rsidRPr="00FF6471" w:rsidRDefault="004B6301" w:rsidP="000F1DF9">
      <w:pPr>
        <w:spacing w:after="0" w:line="240" w:lineRule="auto"/>
        <w:rPr>
          <w:rFonts w:cs="Times New Roman"/>
          <w:szCs w:val="24"/>
        </w:rPr>
      </w:pPr>
    </w:p>
    <w:p w:rsidR="004B6301" w:rsidRPr="00FF6471" w:rsidRDefault="004B6301" w:rsidP="000F1DF9">
      <w:pPr>
        <w:spacing w:after="0" w:line="240" w:lineRule="auto"/>
        <w:rPr>
          <w:rFonts w:cs="Times New Roman"/>
          <w:szCs w:val="24"/>
        </w:rPr>
      </w:pPr>
    </w:p>
    <w:p w:rsidR="004B6301" w:rsidRPr="00FF6471" w:rsidRDefault="004B63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3EB997022C14A94BBFD48AD008E985F"/>
        </w:placeholder>
      </w:sdtPr>
      <w:sdtContent>
        <w:p w:rsidR="004B6301" w:rsidRDefault="004B63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20EBF9BCF14FD29B9B90103B7D7732"/>
        </w:placeholder>
      </w:sdtPr>
      <w:sdtContent>
        <w:p w:rsidR="004B6301" w:rsidRDefault="004B6301" w:rsidP="009325B9">
          <w:pPr>
            <w:pStyle w:val="NormalWeb"/>
            <w:spacing w:before="0" w:beforeAutospacing="0" w:after="0" w:afterAutospacing="0"/>
            <w:jc w:val="both"/>
            <w:divId w:val="2040279680"/>
            <w:rPr>
              <w:rFonts w:eastAsia="Times New Roman"/>
              <w:bCs/>
            </w:rPr>
          </w:pPr>
        </w:p>
        <w:p w:rsidR="004B6301" w:rsidRDefault="004B6301" w:rsidP="009325B9">
          <w:pPr>
            <w:pStyle w:val="NormalWeb"/>
            <w:spacing w:before="0" w:beforeAutospacing="0" w:after="0" w:afterAutospacing="0"/>
            <w:jc w:val="both"/>
            <w:divId w:val="2040279680"/>
            <w:rPr>
              <w:rFonts w:eastAsia="Times New Roman"/>
              <w:bCs/>
            </w:rPr>
          </w:pPr>
          <w:r>
            <w:t>In February 2021, Winter Storm Uri revealed major shortcomings in Texas' energy infrastructure.  According to Energy Research and Social Science,  the Texas freeze of February 2021 left more than 4.5 million customers (over 10 million people) without electricity at its peak, and many for several days.  The freeze had cascading effects on other services reliant upon electricity including drinking water treatment and medical services.  Economic losses from lost output and damage in Texas are estimated to be $130 billion.  Over the course of four days, rolling blackouts affected the entire state.  The most permanent of impacts from this lack of preparedness and power-generating capacity was the loss of hundreds of Texans desperately seeking warmth.</w:t>
          </w:r>
        </w:p>
        <w:p w:rsidR="004B6301" w:rsidRDefault="004B6301" w:rsidP="009325B9">
          <w:pPr>
            <w:pStyle w:val="NormalWeb"/>
            <w:spacing w:after="0"/>
            <w:jc w:val="both"/>
            <w:divId w:val="2040279680"/>
          </w:pPr>
          <w:r>
            <w:t>Response to such disasters is critical in order to help ensure that proper precautions are taken in the future.  Demand response adds value to the ERCOT market by assisting in the preservation of system reliability, increasing competition, mitigating price spikes, and encouraging the demand side of the market to respond better to wholesale price signals.</w:t>
          </w:r>
        </w:p>
        <w:p w:rsidR="004B6301" w:rsidRPr="00C542ED" w:rsidRDefault="004B6301" w:rsidP="009325B9">
          <w:pPr>
            <w:pStyle w:val="NormalWeb"/>
            <w:spacing w:after="0"/>
            <w:jc w:val="both"/>
            <w:divId w:val="2040279680"/>
          </w:pPr>
          <w:r>
            <w:t>S.B. 114 would require that each retail electric provider in the ERCOT power region develop a residential demand response program to decrease the average total residential load.  In addition,   it would ensure that participation in demand response is reasonably available to residential customers, and promote the use of smart metering technology.</w:t>
          </w:r>
          <w:r w:rsidRPr="00C542ED">
            <w:t> </w:t>
          </w:r>
        </w:p>
        <w:p w:rsidR="004B6301" w:rsidRPr="00C542ED" w:rsidRDefault="004B6301" w:rsidP="009325B9">
          <w:pPr>
            <w:pStyle w:val="NormalWeb"/>
            <w:spacing w:before="0" w:beforeAutospacing="0" w:after="0" w:afterAutospacing="0"/>
            <w:jc w:val="both"/>
            <w:divId w:val="2040279680"/>
          </w:pPr>
          <w:r w:rsidRPr="00C542ED">
            <w:t xml:space="preserve">Committee </w:t>
          </w:r>
          <w:r>
            <w:t>s</w:t>
          </w:r>
          <w:r w:rsidRPr="00C542ED">
            <w:t>ubstitute:</w:t>
          </w:r>
        </w:p>
        <w:p w:rsidR="004B6301" w:rsidRDefault="004B6301" w:rsidP="009325B9">
          <w:pPr>
            <w:pStyle w:val="NormalWeb"/>
            <w:spacing w:before="0" w:beforeAutospacing="0" w:after="0" w:afterAutospacing="0"/>
            <w:jc w:val="both"/>
            <w:divId w:val="2040279680"/>
          </w:pPr>
        </w:p>
        <w:p w:rsidR="004B6301" w:rsidRDefault="004B6301" w:rsidP="009325B9">
          <w:pPr>
            <w:pStyle w:val="NormalWeb"/>
            <w:spacing w:before="0" w:beforeAutospacing="0" w:after="0" w:afterAutospacing="0"/>
            <w:jc w:val="both"/>
            <w:divId w:val="2040279680"/>
          </w:pPr>
          <w:r w:rsidRPr="00C542ED">
            <w:t>After receiving feedback from committee members and stakeholders</w:t>
          </w:r>
          <w:r>
            <w:t>,</w:t>
          </w:r>
          <w:r w:rsidRPr="00C542ED">
            <w:t xml:space="preserve"> the substitute </w:t>
          </w:r>
          <w:r>
            <w:t xml:space="preserve">to S.B. 114 </w:t>
          </w:r>
          <w:r w:rsidRPr="00C542ED">
            <w:t>reflect</w:t>
          </w:r>
          <w:r>
            <w:t>s</w:t>
          </w:r>
          <w:r w:rsidRPr="00C542ED">
            <w:t xml:space="preserve"> the following changes:</w:t>
          </w:r>
        </w:p>
        <w:p w:rsidR="004B6301" w:rsidRPr="00C542ED" w:rsidRDefault="004B6301" w:rsidP="009325B9">
          <w:pPr>
            <w:pStyle w:val="NormalWeb"/>
            <w:spacing w:before="0" w:beforeAutospacing="0" w:after="0" w:afterAutospacing="0"/>
            <w:jc w:val="both"/>
            <w:divId w:val="2040279680"/>
          </w:pPr>
        </w:p>
        <w:p w:rsidR="004B6301" w:rsidRPr="00C542ED" w:rsidRDefault="004B6301" w:rsidP="009325B9">
          <w:pPr>
            <w:numPr>
              <w:ilvl w:val="0"/>
              <w:numId w:val="1"/>
            </w:numPr>
            <w:spacing w:after="0" w:line="240" w:lineRule="auto"/>
            <w:jc w:val="both"/>
            <w:divId w:val="2040279680"/>
            <w:rPr>
              <w:rFonts w:eastAsia="Times New Roman"/>
            </w:rPr>
          </w:pPr>
          <w:r w:rsidRPr="00C542ED">
            <w:rPr>
              <w:rFonts w:eastAsia="Times New Roman"/>
            </w:rPr>
            <w:t>Codifies participation in demand response programs through retail electric providers who offer such programs</w:t>
          </w:r>
          <w:r>
            <w:rPr>
              <w:rFonts w:eastAsia="Times New Roman"/>
            </w:rPr>
            <w:t>.</w:t>
          </w:r>
        </w:p>
        <w:p w:rsidR="004B6301" w:rsidRPr="00C542ED" w:rsidRDefault="004B6301" w:rsidP="009325B9">
          <w:pPr>
            <w:numPr>
              <w:ilvl w:val="0"/>
              <w:numId w:val="1"/>
            </w:numPr>
            <w:spacing w:after="0" w:line="240" w:lineRule="auto"/>
            <w:jc w:val="both"/>
            <w:divId w:val="2040279680"/>
            <w:rPr>
              <w:rFonts w:eastAsia="Times New Roman"/>
            </w:rPr>
          </w:pPr>
          <w:r w:rsidRPr="00C542ED">
            <w:rPr>
              <w:rFonts w:eastAsia="Times New Roman"/>
            </w:rPr>
            <w:t>Customer is entitled to information from their retail electric provider when their ERCOT power region issues an emergency alert (removes particular information customer should receive)</w:t>
          </w:r>
          <w:r>
            <w:rPr>
              <w:rFonts w:eastAsia="Times New Roman"/>
            </w:rPr>
            <w:t>.</w:t>
          </w:r>
        </w:p>
        <w:p w:rsidR="004B6301" w:rsidRPr="00C542ED" w:rsidRDefault="004B6301" w:rsidP="009325B9">
          <w:pPr>
            <w:numPr>
              <w:ilvl w:val="0"/>
              <w:numId w:val="1"/>
            </w:numPr>
            <w:spacing w:after="0" w:line="240" w:lineRule="auto"/>
            <w:jc w:val="both"/>
            <w:divId w:val="2040279680"/>
            <w:rPr>
              <w:rFonts w:eastAsia="Times New Roman"/>
            </w:rPr>
          </w:pPr>
          <w:r w:rsidRPr="00C542ED">
            <w:rPr>
              <w:rFonts w:eastAsia="Times New Roman"/>
            </w:rPr>
            <w:t>Establishes that ERCOT will create goals to reduce the average total residential load</w:t>
          </w:r>
          <w:r>
            <w:rPr>
              <w:rFonts w:eastAsia="Times New Roman"/>
            </w:rPr>
            <w:t>.</w:t>
          </w:r>
        </w:p>
        <w:p w:rsidR="004B6301" w:rsidRPr="00C542ED" w:rsidRDefault="004B6301" w:rsidP="009325B9">
          <w:pPr>
            <w:numPr>
              <w:ilvl w:val="0"/>
              <w:numId w:val="1"/>
            </w:numPr>
            <w:spacing w:after="0" w:line="240" w:lineRule="auto"/>
            <w:jc w:val="both"/>
            <w:divId w:val="2040279680"/>
            <w:rPr>
              <w:rFonts w:eastAsia="Times New Roman"/>
            </w:rPr>
          </w:pPr>
          <w:r w:rsidRPr="00C542ED">
            <w:rPr>
              <w:rFonts w:eastAsia="Times New Roman"/>
            </w:rPr>
            <w:t>Allows retail electric providers to implement demand response programs and obtain energy efficient incentives by electric utilities in that ERCOT region</w:t>
          </w:r>
          <w:r>
            <w:rPr>
              <w:rFonts w:eastAsia="Times New Roman"/>
            </w:rPr>
            <w:t>.</w:t>
          </w:r>
        </w:p>
        <w:p w:rsidR="004B6301" w:rsidRPr="00D70925" w:rsidRDefault="004B6301" w:rsidP="009325B9">
          <w:pPr>
            <w:spacing w:after="0" w:line="240" w:lineRule="auto"/>
            <w:jc w:val="both"/>
            <w:rPr>
              <w:rFonts w:eastAsia="Times New Roman" w:cs="Times New Roman"/>
              <w:bCs/>
              <w:szCs w:val="24"/>
            </w:rPr>
          </w:pPr>
        </w:p>
      </w:sdtContent>
    </w:sdt>
    <w:p w:rsidR="004B6301" w:rsidRDefault="004B630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114 </w:t>
      </w:r>
      <w:bookmarkStart w:id="1" w:name="AmendsCurrentLaw"/>
      <w:bookmarkEnd w:id="1"/>
      <w:r>
        <w:rPr>
          <w:rFonts w:cs="Times New Roman"/>
          <w:szCs w:val="24"/>
        </w:rPr>
        <w:t>amends current law relating to the provision of electricity services in the ERCOT power region.</w:t>
      </w:r>
    </w:p>
    <w:p w:rsidR="004B6301" w:rsidRPr="00C542ED" w:rsidRDefault="004B6301" w:rsidP="000F1DF9">
      <w:pPr>
        <w:spacing w:after="0" w:line="240" w:lineRule="auto"/>
        <w:jc w:val="both"/>
        <w:rPr>
          <w:rFonts w:eastAsia="Times New Roman" w:cs="Times New Roman"/>
          <w:szCs w:val="24"/>
        </w:rPr>
      </w:pPr>
    </w:p>
    <w:p w:rsidR="004B6301" w:rsidRPr="005C2A78" w:rsidRDefault="004B63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1B59CDE87B4D9E930845BA414DAC77"/>
          </w:placeholder>
        </w:sdtPr>
        <w:sdtContent>
          <w:r>
            <w:rPr>
              <w:rFonts w:eastAsia="Times New Roman" w:cs="Times New Roman"/>
              <w:b/>
              <w:szCs w:val="24"/>
              <w:u w:val="single"/>
            </w:rPr>
            <w:t>RULEMAKING AUTHORITY</w:t>
          </w:r>
        </w:sdtContent>
      </w:sdt>
    </w:p>
    <w:p w:rsidR="004B6301" w:rsidRPr="006529C4" w:rsidRDefault="004B6301" w:rsidP="00774EC7">
      <w:pPr>
        <w:spacing w:after="0" w:line="240" w:lineRule="auto"/>
        <w:jc w:val="both"/>
        <w:rPr>
          <w:rFonts w:cs="Times New Roman"/>
          <w:szCs w:val="24"/>
        </w:rPr>
      </w:pPr>
    </w:p>
    <w:p w:rsidR="004B6301" w:rsidRPr="006529C4" w:rsidRDefault="004B6301" w:rsidP="00774EC7">
      <w:pPr>
        <w:spacing w:after="0" w:line="240" w:lineRule="auto"/>
        <w:jc w:val="both"/>
        <w:rPr>
          <w:rFonts w:cs="Times New Roman"/>
          <w:szCs w:val="24"/>
        </w:rPr>
      </w:pPr>
      <w:r>
        <w:rPr>
          <w:rFonts w:cs="Times New Roman"/>
          <w:szCs w:val="24"/>
        </w:rPr>
        <w:t>Rulemaking authority is expressly granted to the Public Utility Commission of Texas in SECTION 2 (</w:t>
      </w:r>
      <w:r w:rsidRPr="00C542ED">
        <w:rPr>
          <w:rFonts w:eastAsia="Times New Roman" w:cs="Times New Roman"/>
          <w:szCs w:val="24"/>
        </w:rPr>
        <w:t>Section 39.</w:t>
      </w:r>
      <w:r>
        <w:rPr>
          <w:rFonts w:eastAsia="Times New Roman" w:cs="Times New Roman"/>
          <w:szCs w:val="24"/>
        </w:rPr>
        <w:t>919, Utility Code)</w:t>
      </w:r>
      <w:r>
        <w:rPr>
          <w:rFonts w:cs="Times New Roman"/>
          <w:szCs w:val="24"/>
        </w:rPr>
        <w:t xml:space="preserve"> of this bill.</w:t>
      </w:r>
    </w:p>
    <w:p w:rsidR="004B6301" w:rsidRPr="006529C4" w:rsidRDefault="004B6301" w:rsidP="00774EC7">
      <w:pPr>
        <w:spacing w:after="0" w:line="240" w:lineRule="auto"/>
        <w:jc w:val="both"/>
        <w:rPr>
          <w:rFonts w:cs="Times New Roman"/>
          <w:szCs w:val="24"/>
        </w:rPr>
      </w:pPr>
    </w:p>
    <w:p w:rsidR="004B6301" w:rsidRPr="005C2A78" w:rsidRDefault="004B630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06DFCA1D0945E08B2FAA9FF8F1476B"/>
          </w:placeholder>
        </w:sdtPr>
        <w:sdtContent>
          <w:r>
            <w:rPr>
              <w:rFonts w:eastAsia="Times New Roman" w:cs="Times New Roman"/>
              <w:b/>
              <w:szCs w:val="24"/>
              <w:u w:val="single"/>
            </w:rPr>
            <w:t>SECTION BY SECTION ANALYSIS</w:t>
          </w:r>
        </w:sdtContent>
      </w:sdt>
    </w:p>
    <w:p w:rsidR="004B6301" w:rsidRDefault="004B6301" w:rsidP="00C542ED">
      <w:pPr>
        <w:spacing w:after="0" w:line="240" w:lineRule="auto"/>
        <w:jc w:val="both"/>
        <w:rPr>
          <w:rFonts w:eastAsia="Times New Roman" w:cs="Times New Roman"/>
          <w:szCs w:val="24"/>
        </w:rPr>
      </w:pPr>
    </w:p>
    <w:p w:rsidR="004B6301" w:rsidRPr="00C542ED" w:rsidRDefault="004B6301" w:rsidP="009325B9">
      <w:pPr>
        <w:spacing w:after="0" w:line="240" w:lineRule="auto"/>
        <w:jc w:val="both"/>
        <w:rPr>
          <w:rFonts w:eastAsia="Times New Roman" w:cs="Times New Roman"/>
          <w:szCs w:val="24"/>
        </w:rPr>
      </w:pPr>
      <w:r w:rsidRPr="00C542ED">
        <w:rPr>
          <w:rFonts w:eastAsia="Times New Roman" w:cs="Times New Roman"/>
          <w:szCs w:val="24"/>
        </w:rPr>
        <w:t xml:space="preserve">SECTION 1. </w:t>
      </w:r>
      <w:r>
        <w:rPr>
          <w:rFonts w:eastAsia="Times New Roman" w:cs="Times New Roman"/>
          <w:szCs w:val="24"/>
        </w:rPr>
        <w:t xml:space="preserve">Amends </w:t>
      </w:r>
      <w:r w:rsidRPr="00C542ED">
        <w:rPr>
          <w:rFonts w:eastAsia="Times New Roman" w:cs="Times New Roman"/>
          <w:szCs w:val="24"/>
        </w:rPr>
        <w:t>Section 39.101(b), Utilities Code</w:t>
      </w:r>
      <w:r>
        <w:rPr>
          <w:rFonts w:eastAsia="Times New Roman" w:cs="Times New Roman"/>
          <w:szCs w:val="24"/>
        </w:rPr>
        <w:t>,</w:t>
      </w:r>
      <w:r w:rsidRPr="00C542ED">
        <w:rPr>
          <w:rFonts w:eastAsia="Times New Roman" w:cs="Times New Roman"/>
          <w:szCs w:val="24"/>
        </w:rPr>
        <w:t xml:space="preserve"> as follows:</w:t>
      </w:r>
    </w:p>
    <w:p w:rsidR="004B6301" w:rsidRDefault="004B6301" w:rsidP="009325B9">
      <w:pPr>
        <w:spacing w:after="0" w:line="240" w:lineRule="auto"/>
        <w:jc w:val="both"/>
        <w:rPr>
          <w:rFonts w:eastAsia="Times New Roman" w:cs="Times New Roman"/>
          <w:szCs w:val="24"/>
        </w:rPr>
      </w:pPr>
    </w:p>
    <w:p w:rsidR="004B6301" w:rsidRPr="00C542ED" w:rsidRDefault="004B6301" w:rsidP="009325B9">
      <w:pPr>
        <w:spacing w:after="0" w:line="240" w:lineRule="auto"/>
        <w:ind w:left="720"/>
        <w:jc w:val="both"/>
        <w:rPr>
          <w:rFonts w:eastAsia="Times New Roman" w:cs="Times New Roman"/>
          <w:szCs w:val="24"/>
        </w:rPr>
      </w:pPr>
      <w:r w:rsidRPr="00C542ED">
        <w:rPr>
          <w:rFonts w:eastAsia="Times New Roman" w:cs="Times New Roman"/>
          <w:szCs w:val="24"/>
        </w:rPr>
        <w:t xml:space="preserve">(b) </w:t>
      </w:r>
      <w:r>
        <w:rPr>
          <w:rFonts w:eastAsia="Times New Roman" w:cs="Times New Roman"/>
          <w:szCs w:val="24"/>
        </w:rPr>
        <w:t>Entitles a</w:t>
      </w:r>
      <w:r w:rsidRPr="00C542ED">
        <w:rPr>
          <w:rFonts w:eastAsia="Times New Roman" w:cs="Times New Roman"/>
          <w:szCs w:val="24"/>
        </w:rPr>
        <w:t xml:space="preserve"> customer </w:t>
      </w:r>
      <w:r>
        <w:rPr>
          <w:rFonts w:eastAsia="Times New Roman" w:cs="Times New Roman"/>
          <w:szCs w:val="24"/>
        </w:rPr>
        <w:t xml:space="preserve">to certain entitlements, including </w:t>
      </w:r>
      <w:r w:rsidRPr="00C542ED">
        <w:rPr>
          <w:rFonts w:eastAsia="Times New Roman" w:cs="Times New Roman"/>
          <w:szCs w:val="24"/>
        </w:rPr>
        <w:t xml:space="preserve">to </w:t>
      </w:r>
      <w:r>
        <w:rPr>
          <w:rFonts w:eastAsia="Times New Roman" w:cs="Times New Roman"/>
          <w:szCs w:val="24"/>
        </w:rPr>
        <w:t>participate</w:t>
      </w:r>
      <w:r w:rsidRPr="00C542ED">
        <w:rPr>
          <w:rFonts w:eastAsia="Times New Roman" w:cs="Times New Roman"/>
          <w:szCs w:val="24"/>
        </w:rPr>
        <w:t xml:space="preserve"> in demand response programs through retail electric providers that offer demand response programs and</w:t>
      </w:r>
      <w:r>
        <w:rPr>
          <w:rFonts w:eastAsia="Times New Roman" w:cs="Times New Roman"/>
          <w:szCs w:val="24"/>
        </w:rPr>
        <w:t xml:space="preserve"> </w:t>
      </w:r>
      <w:r w:rsidRPr="00C542ED">
        <w:rPr>
          <w:rFonts w:eastAsia="Times New Roman" w:cs="Times New Roman"/>
          <w:szCs w:val="24"/>
        </w:rPr>
        <w:t xml:space="preserve">to receive notice from the retail electric provider that serves the customer when the independent organization certified under Section 39.151 </w:t>
      </w:r>
      <w:r>
        <w:rPr>
          <w:rFonts w:eastAsia="Times New Roman" w:cs="Times New Roman"/>
          <w:szCs w:val="24"/>
        </w:rPr>
        <w:t xml:space="preserve">(Essential Organizations) </w:t>
      </w:r>
      <w:r w:rsidRPr="00C542ED">
        <w:rPr>
          <w:rFonts w:eastAsia="Times New Roman" w:cs="Times New Roman"/>
          <w:szCs w:val="24"/>
        </w:rPr>
        <w:t>for the E</w:t>
      </w:r>
      <w:r>
        <w:rPr>
          <w:rFonts w:eastAsia="Times New Roman" w:cs="Times New Roman"/>
          <w:szCs w:val="24"/>
        </w:rPr>
        <w:t>lectric Reliability Council of Texas (ERCOT)</w:t>
      </w:r>
      <w:r w:rsidRPr="00C542ED">
        <w:rPr>
          <w:rFonts w:eastAsia="Times New Roman" w:cs="Times New Roman"/>
          <w:szCs w:val="24"/>
        </w:rPr>
        <w:t xml:space="preserve"> power region issues an emergency energy alert.</w:t>
      </w:r>
      <w:r>
        <w:rPr>
          <w:rFonts w:eastAsia="Times New Roman" w:cs="Times New Roman"/>
          <w:szCs w:val="24"/>
        </w:rPr>
        <w:t xml:space="preserve"> Makes nonsubstantive changes.</w:t>
      </w:r>
    </w:p>
    <w:p w:rsidR="004B6301" w:rsidRDefault="004B6301" w:rsidP="009325B9">
      <w:pPr>
        <w:spacing w:after="0" w:line="240" w:lineRule="auto"/>
        <w:jc w:val="both"/>
        <w:rPr>
          <w:rFonts w:eastAsia="Times New Roman" w:cs="Times New Roman"/>
          <w:szCs w:val="24"/>
        </w:rPr>
      </w:pPr>
    </w:p>
    <w:p w:rsidR="004B6301" w:rsidRPr="00C542ED" w:rsidRDefault="004B6301" w:rsidP="009325B9">
      <w:pPr>
        <w:spacing w:after="0" w:line="240" w:lineRule="auto"/>
        <w:jc w:val="both"/>
        <w:rPr>
          <w:rFonts w:eastAsia="Times New Roman" w:cs="Times New Roman"/>
          <w:szCs w:val="24"/>
        </w:rPr>
      </w:pPr>
      <w:r w:rsidRPr="00C542ED">
        <w:rPr>
          <w:rFonts w:eastAsia="Times New Roman" w:cs="Times New Roman"/>
          <w:szCs w:val="24"/>
        </w:rPr>
        <w:t xml:space="preserve">SECTION 2. </w:t>
      </w:r>
      <w:r>
        <w:rPr>
          <w:rFonts w:eastAsia="Times New Roman" w:cs="Times New Roman"/>
          <w:szCs w:val="24"/>
        </w:rPr>
        <w:t xml:space="preserve">Amends </w:t>
      </w:r>
      <w:r w:rsidRPr="00C542ED">
        <w:rPr>
          <w:rFonts w:eastAsia="Times New Roman" w:cs="Times New Roman"/>
          <w:szCs w:val="24"/>
        </w:rPr>
        <w:t>Subchapter Z, Chapter 39, Utilities Code, by adding Section 39.919</w:t>
      </w:r>
      <w:r>
        <w:rPr>
          <w:rFonts w:eastAsia="Times New Roman" w:cs="Times New Roman"/>
          <w:szCs w:val="24"/>
        </w:rPr>
        <w:t>,</w:t>
      </w:r>
      <w:r w:rsidRPr="00C542ED">
        <w:rPr>
          <w:rFonts w:eastAsia="Times New Roman" w:cs="Times New Roman"/>
          <w:szCs w:val="24"/>
        </w:rPr>
        <w:t xml:space="preserve"> as follows:</w:t>
      </w:r>
    </w:p>
    <w:p w:rsidR="004B6301" w:rsidRDefault="004B6301" w:rsidP="009325B9">
      <w:pPr>
        <w:spacing w:after="0" w:line="240" w:lineRule="auto"/>
        <w:jc w:val="both"/>
        <w:rPr>
          <w:rFonts w:eastAsia="Times New Roman" w:cs="Times New Roman"/>
          <w:szCs w:val="24"/>
        </w:rPr>
      </w:pPr>
    </w:p>
    <w:p w:rsidR="004B6301" w:rsidRDefault="004B6301" w:rsidP="009325B9">
      <w:pPr>
        <w:spacing w:after="0" w:line="240" w:lineRule="auto"/>
        <w:ind w:left="720"/>
        <w:jc w:val="both"/>
        <w:rPr>
          <w:rFonts w:eastAsia="Times New Roman" w:cs="Times New Roman"/>
          <w:szCs w:val="24"/>
        </w:rPr>
      </w:pPr>
      <w:r w:rsidRPr="00C542ED">
        <w:rPr>
          <w:rFonts w:eastAsia="Times New Roman" w:cs="Times New Roman"/>
          <w:szCs w:val="24"/>
        </w:rPr>
        <w:t xml:space="preserve">Sec. 39.919. AVERAGE TOTAL RESIDENTIAL LOAD REDUCTION GOALS. (a) </w:t>
      </w:r>
      <w:r>
        <w:rPr>
          <w:rFonts w:eastAsia="Times New Roman" w:cs="Times New Roman"/>
          <w:szCs w:val="24"/>
        </w:rPr>
        <w:t xml:space="preserve">Requires the Public Utility Commission of Texas (PUC) </w:t>
      </w:r>
      <w:r w:rsidRPr="00C542ED">
        <w:rPr>
          <w:rFonts w:eastAsia="Times New Roman" w:cs="Times New Roman"/>
          <w:szCs w:val="24"/>
        </w:rPr>
        <w:t xml:space="preserve">by rule </w:t>
      </w:r>
      <w:r>
        <w:rPr>
          <w:rFonts w:eastAsia="Times New Roman" w:cs="Times New Roman"/>
          <w:szCs w:val="24"/>
        </w:rPr>
        <w:t>to</w:t>
      </w:r>
      <w:r w:rsidRPr="00C542ED">
        <w:rPr>
          <w:rFonts w:eastAsia="Times New Roman" w:cs="Times New Roman"/>
          <w:szCs w:val="24"/>
        </w:rPr>
        <w:t xml:space="preserve"> establish goals in the ERCOT power region to reduce the average total residential load.</w:t>
      </w:r>
    </w:p>
    <w:p w:rsidR="004B6301" w:rsidRPr="00C542ED" w:rsidRDefault="004B6301" w:rsidP="009325B9">
      <w:pPr>
        <w:spacing w:after="0" w:line="240" w:lineRule="auto"/>
        <w:ind w:left="720"/>
        <w:jc w:val="both"/>
        <w:rPr>
          <w:rFonts w:eastAsia="Times New Roman" w:cs="Times New Roman"/>
          <w:szCs w:val="24"/>
        </w:rPr>
      </w:pPr>
    </w:p>
    <w:p w:rsidR="004B6301" w:rsidRPr="00C542ED" w:rsidRDefault="004B6301" w:rsidP="009325B9">
      <w:pPr>
        <w:spacing w:after="0" w:line="240" w:lineRule="auto"/>
        <w:ind w:left="1440"/>
        <w:jc w:val="both"/>
        <w:rPr>
          <w:rFonts w:eastAsia="Times New Roman" w:cs="Times New Roman"/>
          <w:szCs w:val="24"/>
        </w:rPr>
      </w:pPr>
      <w:r w:rsidRPr="00C542ED">
        <w:rPr>
          <w:rFonts w:eastAsia="Times New Roman" w:cs="Times New Roman"/>
          <w:szCs w:val="24"/>
        </w:rPr>
        <w:t xml:space="preserve">(b) </w:t>
      </w:r>
      <w:r>
        <w:rPr>
          <w:rFonts w:eastAsia="Times New Roman" w:cs="Times New Roman"/>
          <w:szCs w:val="24"/>
        </w:rPr>
        <w:t>Requires that t</w:t>
      </w:r>
      <w:r w:rsidRPr="00C542ED">
        <w:rPr>
          <w:rFonts w:eastAsia="Times New Roman" w:cs="Times New Roman"/>
          <w:szCs w:val="24"/>
        </w:rPr>
        <w:t>he rules adopted under Subsection (a) provide for the adoption of a program that:</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(1) provides demand response participation to residential customers where reasonably available;</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(2) promotes the use of smart metering technology;</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(3) is capable of responding to an emergency energy alert about low operating reserves issued by the independent organization certified under Section 39.151 for the ERCOT power region;</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(4) provides opportunities for demand response providers to contract with retail electric providers to provide demand response services;</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(5) ensures the program does not impact the critical needs of vulnerable populations;</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(6) facilitates the widespread deployment of smart responsive appliances and devices in a manner that enables the customer's appliance or device to be enrolled as part of a demand response product or plan offered by a retail electric provider;</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(7) establishes the method by which the components of the ratio described by Subsection (c) are calculated for purposes of determining whether the goals described by Subsection (a) have been achieved;</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(8) provides for achievement of demand reductions within both summer and winter seasons; and</w:t>
      </w:r>
    </w:p>
    <w:p w:rsidR="004B6301" w:rsidRDefault="004B6301" w:rsidP="009325B9">
      <w:pPr>
        <w:spacing w:after="0" w:line="240" w:lineRule="auto"/>
        <w:ind w:left="2160"/>
        <w:jc w:val="both"/>
        <w:rPr>
          <w:rFonts w:eastAsia="Times New Roman" w:cs="Times New Roman"/>
          <w:szCs w:val="24"/>
        </w:rPr>
      </w:pPr>
    </w:p>
    <w:p w:rsidR="004B6301" w:rsidRPr="00C542ED" w:rsidRDefault="004B6301" w:rsidP="009325B9">
      <w:pPr>
        <w:spacing w:after="0" w:line="240" w:lineRule="auto"/>
        <w:ind w:left="2160"/>
        <w:jc w:val="both"/>
        <w:rPr>
          <w:rFonts w:eastAsia="Times New Roman" w:cs="Times New Roman"/>
          <w:szCs w:val="24"/>
        </w:rPr>
      </w:pPr>
      <w:r w:rsidRPr="00C542ED">
        <w:rPr>
          <w:rFonts w:eastAsia="Times New Roman" w:cs="Times New Roman"/>
          <w:szCs w:val="24"/>
        </w:rPr>
        <w:t>(9) allows a retail electric provider that offers a demand response program under this section to obtain funding for the demand response program through an energy efficiency incentive program established under Section 39.905</w:t>
      </w:r>
      <w:r>
        <w:rPr>
          <w:rFonts w:eastAsia="Times New Roman" w:cs="Times New Roman"/>
          <w:szCs w:val="24"/>
        </w:rPr>
        <w:t xml:space="preserve"> (Goal for Energy Efficiency)</w:t>
      </w:r>
      <w:r w:rsidRPr="00C542ED">
        <w:rPr>
          <w:rFonts w:eastAsia="Times New Roman" w:cs="Times New Roman"/>
          <w:szCs w:val="24"/>
        </w:rPr>
        <w:t>.</w:t>
      </w:r>
    </w:p>
    <w:p w:rsidR="004B6301" w:rsidRDefault="004B6301" w:rsidP="009325B9">
      <w:pPr>
        <w:spacing w:after="0" w:line="240" w:lineRule="auto"/>
        <w:ind w:left="1440"/>
        <w:jc w:val="both"/>
        <w:rPr>
          <w:rFonts w:eastAsia="Times New Roman" w:cs="Times New Roman"/>
          <w:szCs w:val="24"/>
        </w:rPr>
      </w:pPr>
    </w:p>
    <w:p w:rsidR="004B6301" w:rsidRDefault="004B6301" w:rsidP="009325B9">
      <w:pPr>
        <w:spacing w:after="0" w:line="240" w:lineRule="auto"/>
        <w:ind w:left="1440"/>
        <w:jc w:val="both"/>
        <w:rPr>
          <w:rFonts w:eastAsia="Times New Roman" w:cs="Times New Roman"/>
          <w:szCs w:val="24"/>
        </w:rPr>
      </w:pPr>
      <w:r w:rsidRPr="00C542ED">
        <w:rPr>
          <w:rFonts w:eastAsia="Times New Roman" w:cs="Times New Roman"/>
          <w:szCs w:val="24"/>
        </w:rPr>
        <w:t xml:space="preserve">(c) </w:t>
      </w:r>
      <w:r>
        <w:rPr>
          <w:rFonts w:eastAsia="Times New Roman" w:cs="Times New Roman"/>
          <w:szCs w:val="24"/>
        </w:rPr>
        <w:t>Requires that t</w:t>
      </w:r>
      <w:r w:rsidRPr="00C542ED">
        <w:rPr>
          <w:rFonts w:eastAsia="Times New Roman" w:cs="Times New Roman"/>
          <w:szCs w:val="24"/>
        </w:rPr>
        <w:t>he goals described by Subsection (a) be calculated as a ratio by dividing the amount of load reduced at peak demand by the total amount of demand, at the same time, of all residential customers who have responsive appliances or devices at their premises that reduce the electric consumption of the customers.</w:t>
      </w:r>
    </w:p>
    <w:p w:rsidR="004B6301" w:rsidRPr="00C542ED" w:rsidRDefault="004B6301" w:rsidP="009325B9">
      <w:pPr>
        <w:spacing w:after="0" w:line="240" w:lineRule="auto"/>
        <w:ind w:left="1440"/>
        <w:jc w:val="both"/>
        <w:rPr>
          <w:rFonts w:eastAsia="Times New Roman" w:cs="Times New Roman"/>
          <w:szCs w:val="24"/>
        </w:rPr>
      </w:pPr>
    </w:p>
    <w:p w:rsidR="004B6301" w:rsidRDefault="004B6301" w:rsidP="009325B9">
      <w:pPr>
        <w:spacing w:after="0" w:line="240" w:lineRule="auto"/>
        <w:jc w:val="both"/>
        <w:rPr>
          <w:rFonts w:eastAsia="Times New Roman" w:cs="Times New Roman"/>
          <w:szCs w:val="24"/>
        </w:rPr>
      </w:pPr>
      <w:r w:rsidRPr="00C542ED">
        <w:rPr>
          <w:rFonts w:eastAsia="Times New Roman" w:cs="Times New Roman"/>
          <w:szCs w:val="24"/>
        </w:rPr>
        <w:t xml:space="preserve">SECTION 3. </w:t>
      </w:r>
      <w:r>
        <w:rPr>
          <w:rFonts w:eastAsia="Times New Roman" w:cs="Times New Roman"/>
          <w:szCs w:val="24"/>
        </w:rPr>
        <w:t xml:space="preserve">Requires the PUC to </w:t>
      </w:r>
      <w:r w:rsidRPr="00C542ED">
        <w:rPr>
          <w:rFonts w:eastAsia="Times New Roman" w:cs="Times New Roman"/>
          <w:szCs w:val="24"/>
        </w:rPr>
        <w:t>adopt rules as necessary for the adoption of a program to begin facilitating the widespread deployment of appliances and devices capable of being part of a demand response product or plan offered by a retail electric provider, as provided by Section 39.919(b)(6), Utilities Code, as added by this Act, before December 31, 2024.</w:t>
      </w:r>
    </w:p>
    <w:p w:rsidR="004B6301" w:rsidRPr="00C542ED" w:rsidRDefault="004B6301" w:rsidP="009325B9">
      <w:pPr>
        <w:spacing w:after="0" w:line="240" w:lineRule="auto"/>
        <w:jc w:val="both"/>
        <w:rPr>
          <w:rFonts w:eastAsia="Times New Roman" w:cs="Times New Roman"/>
          <w:szCs w:val="24"/>
        </w:rPr>
      </w:pPr>
    </w:p>
    <w:p w:rsidR="004B6301" w:rsidRPr="00C8671F" w:rsidRDefault="004B6301" w:rsidP="009325B9">
      <w:pPr>
        <w:spacing w:after="0" w:line="240" w:lineRule="auto"/>
        <w:jc w:val="both"/>
        <w:rPr>
          <w:rFonts w:eastAsia="Times New Roman" w:cs="Times New Roman"/>
          <w:szCs w:val="24"/>
        </w:rPr>
      </w:pPr>
      <w:r w:rsidRPr="00C542ED">
        <w:rPr>
          <w:rFonts w:eastAsia="Times New Roman" w:cs="Times New Roman"/>
          <w:szCs w:val="24"/>
        </w:rPr>
        <w:t xml:space="preserve">SECTION 4. </w:t>
      </w:r>
      <w:r>
        <w:rPr>
          <w:rFonts w:eastAsia="Times New Roman" w:cs="Times New Roman"/>
          <w:szCs w:val="24"/>
        </w:rPr>
        <w:t xml:space="preserve">Effective date: upon passage or </w:t>
      </w:r>
      <w:r w:rsidRPr="00C542ED">
        <w:rPr>
          <w:rFonts w:eastAsia="Times New Roman" w:cs="Times New Roman"/>
          <w:szCs w:val="24"/>
        </w:rPr>
        <w:t>September 1, 2023.</w:t>
      </w:r>
    </w:p>
    <w:sectPr w:rsidR="004B630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BC5" w:rsidRDefault="00E36BC5" w:rsidP="000F1DF9">
      <w:pPr>
        <w:spacing w:after="0" w:line="240" w:lineRule="auto"/>
      </w:pPr>
      <w:r>
        <w:separator/>
      </w:r>
    </w:p>
  </w:endnote>
  <w:endnote w:type="continuationSeparator" w:id="0">
    <w:p w:rsidR="00E36BC5" w:rsidRDefault="00E36BC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6BC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630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6301">
                <w:rPr>
                  <w:sz w:val="20"/>
                  <w:szCs w:val="20"/>
                </w:rPr>
                <w:t>C.S.S.B. 114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63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6BC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BC5" w:rsidRDefault="00E36BC5" w:rsidP="000F1DF9">
      <w:pPr>
        <w:spacing w:after="0" w:line="240" w:lineRule="auto"/>
      </w:pPr>
      <w:r>
        <w:separator/>
      </w:r>
    </w:p>
  </w:footnote>
  <w:footnote w:type="continuationSeparator" w:id="0">
    <w:p w:rsidR="00E36BC5" w:rsidRDefault="00E36BC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397E"/>
    <w:multiLevelType w:val="multilevel"/>
    <w:tmpl w:val="AD96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630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6BC5"/>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411CF"/>
  <w15:docId w15:val="{D69EAB51-BA93-4CA2-9A52-C067BCA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63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A7901802C24DDBB7B727EA09A48456"/>
        <w:category>
          <w:name w:val="General"/>
          <w:gallery w:val="placeholder"/>
        </w:category>
        <w:types>
          <w:type w:val="bbPlcHdr"/>
        </w:types>
        <w:behaviors>
          <w:behavior w:val="content"/>
        </w:behaviors>
        <w:guid w:val="{002C5FF7-7ED2-4484-94D8-5ACF21AC3E11}"/>
      </w:docPartPr>
      <w:docPartBody>
        <w:p w:rsidR="00000000" w:rsidRDefault="003465CD"/>
      </w:docPartBody>
    </w:docPart>
    <w:docPart>
      <w:docPartPr>
        <w:name w:val="573A93E71D084D9EBCBCB397DE30BBED"/>
        <w:category>
          <w:name w:val="General"/>
          <w:gallery w:val="placeholder"/>
        </w:category>
        <w:types>
          <w:type w:val="bbPlcHdr"/>
        </w:types>
        <w:behaviors>
          <w:behavior w:val="content"/>
        </w:behaviors>
        <w:guid w:val="{C07D815A-6F16-492A-9B95-C3E208758A43}"/>
      </w:docPartPr>
      <w:docPartBody>
        <w:p w:rsidR="00000000" w:rsidRDefault="003465CD"/>
      </w:docPartBody>
    </w:docPart>
    <w:docPart>
      <w:docPartPr>
        <w:name w:val="5195ECD62DB5449095E2F760BAB56019"/>
        <w:category>
          <w:name w:val="General"/>
          <w:gallery w:val="placeholder"/>
        </w:category>
        <w:types>
          <w:type w:val="bbPlcHdr"/>
        </w:types>
        <w:behaviors>
          <w:behavior w:val="content"/>
        </w:behaviors>
        <w:guid w:val="{C0361994-8B28-424C-9763-4BC770989E32}"/>
      </w:docPartPr>
      <w:docPartBody>
        <w:p w:rsidR="00000000" w:rsidRDefault="003465CD"/>
      </w:docPartBody>
    </w:docPart>
    <w:docPart>
      <w:docPartPr>
        <w:name w:val="19036C42152B4664B0A64AF1594C26B4"/>
        <w:category>
          <w:name w:val="General"/>
          <w:gallery w:val="placeholder"/>
        </w:category>
        <w:types>
          <w:type w:val="bbPlcHdr"/>
        </w:types>
        <w:behaviors>
          <w:behavior w:val="content"/>
        </w:behaviors>
        <w:guid w:val="{9E81434C-D087-4E89-84C6-BA1DB06E9D34}"/>
      </w:docPartPr>
      <w:docPartBody>
        <w:p w:rsidR="00000000" w:rsidRDefault="003465CD"/>
      </w:docPartBody>
    </w:docPart>
    <w:docPart>
      <w:docPartPr>
        <w:name w:val="65CA9CE062A4409988F5EFF0283173E0"/>
        <w:category>
          <w:name w:val="General"/>
          <w:gallery w:val="placeholder"/>
        </w:category>
        <w:types>
          <w:type w:val="bbPlcHdr"/>
        </w:types>
        <w:behaviors>
          <w:behavior w:val="content"/>
        </w:behaviors>
        <w:guid w:val="{160F094C-F7AF-42FC-A049-C7D4FC3CED0C}"/>
      </w:docPartPr>
      <w:docPartBody>
        <w:p w:rsidR="00000000" w:rsidRDefault="003465CD"/>
      </w:docPartBody>
    </w:docPart>
    <w:docPart>
      <w:docPartPr>
        <w:name w:val="5A7D774B362E4DFAB2E5727A7B29524F"/>
        <w:category>
          <w:name w:val="General"/>
          <w:gallery w:val="placeholder"/>
        </w:category>
        <w:types>
          <w:type w:val="bbPlcHdr"/>
        </w:types>
        <w:behaviors>
          <w:behavior w:val="content"/>
        </w:behaviors>
        <w:guid w:val="{805D79ED-5865-4A0D-B6EC-BB7A47E57DFD}"/>
      </w:docPartPr>
      <w:docPartBody>
        <w:p w:rsidR="00000000" w:rsidRDefault="003465CD"/>
      </w:docPartBody>
    </w:docPart>
    <w:docPart>
      <w:docPartPr>
        <w:name w:val="F8233E457DB244E28D6F374605DA2BC1"/>
        <w:category>
          <w:name w:val="General"/>
          <w:gallery w:val="placeholder"/>
        </w:category>
        <w:types>
          <w:type w:val="bbPlcHdr"/>
        </w:types>
        <w:behaviors>
          <w:behavior w:val="content"/>
        </w:behaviors>
        <w:guid w:val="{4301923D-C55E-4839-A82B-395A4046DE86}"/>
      </w:docPartPr>
      <w:docPartBody>
        <w:p w:rsidR="00000000" w:rsidRDefault="003465CD"/>
      </w:docPartBody>
    </w:docPart>
    <w:docPart>
      <w:docPartPr>
        <w:name w:val="73603FBF48264829B2D7A39906A04583"/>
        <w:category>
          <w:name w:val="General"/>
          <w:gallery w:val="placeholder"/>
        </w:category>
        <w:types>
          <w:type w:val="bbPlcHdr"/>
        </w:types>
        <w:behaviors>
          <w:behavior w:val="content"/>
        </w:behaviors>
        <w:guid w:val="{38380001-7619-454B-A084-5CE09BB31076}"/>
      </w:docPartPr>
      <w:docPartBody>
        <w:p w:rsidR="00000000" w:rsidRDefault="003465CD"/>
      </w:docPartBody>
    </w:docPart>
    <w:docPart>
      <w:docPartPr>
        <w:name w:val="B66AE2473D28414DA227207E257613DF"/>
        <w:category>
          <w:name w:val="General"/>
          <w:gallery w:val="placeholder"/>
        </w:category>
        <w:types>
          <w:type w:val="bbPlcHdr"/>
        </w:types>
        <w:behaviors>
          <w:behavior w:val="content"/>
        </w:behaviors>
        <w:guid w:val="{85C4A20D-E2E0-426F-ACBA-6AD57928444F}"/>
      </w:docPartPr>
      <w:docPartBody>
        <w:p w:rsidR="00000000" w:rsidRDefault="003465CD"/>
      </w:docPartBody>
    </w:docPart>
    <w:docPart>
      <w:docPartPr>
        <w:name w:val="3AAA6AEA1AB143B58FC23ADB1E64E0CA"/>
        <w:category>
          <w:name w:val="General"/>
          <w:gallery w:val="placeholder"/>
        </w:category>
        <w:types>
          <w:type w:val="bbPlcHdr"/>
        </w:types>
        <w:behaviors>
          <w:behavior w:val="content"/>
        </w:behaviors>
        <w:guid w:val="{AAE3765C-DFB4-4C6D-951A-5A37DC48D79A}"/>
      </w:docPartPr>
      <w:docPartBody>
        <w:p w:rsidR="00000000" w:rsidRDefault="008B594E" w:rsidP="008B594E">
          <w:pPr>
            <w:pStyle w:val="3AAA6AEA1AB143B58FC23ADB1E64E0CA"/>
          </w:pPr>
          <w:r w:rsidRPr="00A30DD1">
            <w:rPr>
              <w:rStyle w:val="PlaceholderText"/>
            </w:rPr>
            <w:t>Click here to enter a date.</w:t>
          </w:r>
        </w:p>
      </w:docPartBody>
    </w:docPart>
    <w:docPart>
      <w:docPartPr>
        <w:name w:val="CD0CCFE925104A8D8C89CC4A79CC982A"/>
        <w:category>
          <w:name w:val="General"/>
          <w:gallery w:val="placeholder"/>
        </w:category>
        <w:types>
          <w:type w:val="bbPlcHdr"/>
        </w:types>
        <w:behaviors>
          <w:behavior w:val="content"/>
        </w:behaviors>
        <w:guid w:val="{F19CF0B8-4DC8-4CD3-B770-2BE7A53AB8EC}"/>
      </w:docPartPr>
      <w:docPartBody>
        <w:p w:rsidR="00000000" w:rsidRDefault="003465CD"/>
      </w:docPartBody>
    </w:docPart>
    <w:docPart>
      <w:docPartPr>
        <w:name w:val="C3EB997022C14A94BBFD48AD008E985F"/>
        <w:category>
          <w:name w:val="General"/>
          <w:gallery w:val="placeholder"/>
        </w:category>
        <w:types>
          <w:type w:val="bbPlcHdr"/>
        </w:types>
        <w:behaviors>
          <w:behavior w:val="content"/>
        </w:behaviors>
        <w:guid w:val="{3B0EC0AB-4375-4058-A2CD-29939B159A4E}"/>
      </w:docPartPr>
      <w:docPartBody>
        <w:p w:rsidR="00000000" w:rsidRDefault="003465CD"/>
      </w:docPartBody>
    </w:docPart>
    <w:docPart>
      <w:docPartPr>
        <w:name w:val="2420EBF9BCF14FD29B9B90103B7D7732"/>
        <w:category>
          <w:name w:val="General"/>
          <w:gallery w:val="placeholder"/>
        </w:category>
        <w:types>
          <w:type w:val="bbPlcHdr"/>
        </w:types>
        <w:behaviors>
          <w:behavior w:val="content"/>
        </w:behaviors>
        <w:guid w:val="{807999B8-F59C-453E-B904-749140FC1555}"/>
      </w:docPartPr>
      <w:docPartBody>
        <w:p w:rsidR="00000000" w:rsidRDefault="008B594E" w:rsidP="008B594E">
          <w:pPr>
            <w:pStyle w:val="2420EBF9BCF14FD29B9B90103B7D7732"/>
          </w:pPr>
          <w:r>
            <w:rPr>
              <w:rFonts w:eastAsia="Times New Roman" w:cs="Times New Roman"/>
              <w:bCs/>
              <w:szCs w:val="24"/>
            </w:rPr>
            <w:t xml:space="preserve"> </w:t>
          </w:r>
        </w:p>
      </w:docPartBody>
    </w:docPart>
    <w:docPart>
      <w:docPartPr>
        <w:name w:val="331B59CDE87B4D9E930845BA414DAC77"/>
        <w:category>
          <w:name w:val="General"/>
          <w:gallery w:val="placeholder"/>
        </w:category>
        <w:types>
          <w:type w:val="bbPlcHdr"/>
        </w:types>
        <w:behaviors>
          <w:behavior w:val="content"/>
        </w:behaviors>
        <w:guid w:val="{43C461F0-0AF7-427E-B3E2-948C9A270FCA}"/>
      </w:docPartPr>
      <w:docPartBody>
        <w:p w:rsidR="00000000" w:rsidRDefault="003465CD"/>
      </w:docPartBody>
    </w:docPart>
    <w:docPart>
      <w:docPartPr>
        <w:name w:val="D006DFCA1D0945E08B2FAA9FF8F1476B"/>
        <w:category>
          <w:name w:val="General"/>
          <w:gallery w:val="placeholder"/>
        </w:category>
        <w:types>
          <w:type w:val="bbPlcHdr"/>
        </w:types>
        <w:behaviors>
          <w:behavior w:val="content"/>
        </w:behaviors>
        <w:guid w:val="{09060FDB-1757-467B-B81C-83FED7726D72}"/>
      </w:docPartPr>
      <w:docPartBody>
        <w:p w:rsidR="00000000" w:rsidRDefault="003465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65CD"/>
    <w:rsid w:val="004816E8"/>
    <w:rsid w:val="00493D6D"/>
    <w:rsid w:val="00576003"/>
    <w:rsid w:val="005B408E"/>
    <w:rsid w:val="005D31F2"/>
    <w:rsid w:val="00635291"/>
    <w:rsid w:val="006959CC"/>
    <w:rsid w:val="00696675"/>
    <w:rsid w:val="006B0016"/>
    <w:rsid w:val="008B594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94E"/>
    <w:rPr>
      <w:color w:val="808080"/>
    </w:rPr>
  </w:style>
  <w:style w:type="paragraph" w:customStyle="1" w:styleId="3AAA6AEA1AB143B58FC23ADB1E64E0CA">
    <w:name w:val="3AAA6AEA1AB143B58FC23ADB1E64E0CA"/>
    <w:rsid w:val="008B594E"/>
    <w:pPr>
      <w:spacing w:after="160" w:line="259" w:lineRule="auto"/>
    </w:pPr>
  </w:style>
  <w:style w:type="paragraph" w:customStyle="1" w:styleId="2420EBF9BCF14FD29B9B90103B7D7732">
    <w:name w:val="2420EBF9BCF14FD29B9B90103B7D7732"/>
    <w:rsid w:val="008B594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857</Words>
  <Characters>4890</Characters>
  <Application>Microsoft Office Word</Application>
  <DocSecurity>0</DocSecurity>
  <Lines>40</Lines>
  <Paragraphs>11</Paragraphs>
  <ScaleCrop>false</ScaleCrop>
  <Company>Texas Legislative Council</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2023-04-28T15:42:00Z</dcterms:modified>
</cp:coreProperties>
</file>

<file path=docProps/custom.xml><?xml version="1.0" encoding="utf-8"?>
<op:Properties xmlns:vt="http://schemas.openxmlformats.org/officeDocument/2006/docPropsVTypes" xmlns:op="http://schemas.openxmlformats.org/officeDocument/2006/custom-properties"/>
</file>