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7469B" w14:paraId="63A48653" w14:textId="77777777" w:rsidTr="00345119">
        <w:tc>
          <w:tcPr>
            <w:tcW w:w="9576" w:type="dxa"/>
            <w:noWrap/>
          </w:tcPr>
          <w:p w14:paraId="6110FC1B" w14:textId="77777777" w:rsidR="008423E4" w:rsidRPr="0022177D" w:rsidRDefault="006D52C4" w:rsidP="00FE6038">
            <w:pPr>
              <w:pStyle w:val="Heading1"/>
            </w:pPr>
            <w:r w:rsidRPr="00631897">
              <w:t>BILL ANALYSIS</w:t>
            </w:r>
          </w:p>
        </w:tc>
      </w:tr>
    </w:tbl>
    <w:p w14:paraId="39C21B49" w14:textId="77777777" w:rsidR="008423E4" w:rsidRPr="0022177D" w:rsidRDefault="008423E4" w:rsidP="00FE6038">
      <w:pPr>
        <w:jc w:val="center"/>
      </w:pPr>
    </w:p>
    <w:p w14:paraId="669D8008" w14:textId="77777777" w:rsidR="008423E4" w:rsidRPr="00B31F0E" w:rsidRDefault="008423E4" w:rsidP="00FE6038"/>
    <w:p w14:paraId="43459BCE" w14:textId="77777777" w:rsidR="008423E4" w:rsidRPr="00742794" w:rsidRDefault="008423E4" w:rsidP="00FE603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7469B" w14:paraId="532335DC" w14:textId="77777777" w:rsidTr="00345119">
        <w:tc>
          <w:tcPr>
            <w:tcW w:w="9576" w:type="dxa"/>
          </w:tcPr>
          <w:p w14:paraId="60771310" w14:textId="77777777" w:rsidR="008423E4" w:rsidRPr="00861995" w:rsidRDefault="006D52C4" w:rsidP="00FE6038">
            <w:pPr>
              <w:jc w:val="right"/>
            </w:pPr>
            <w:r>
              <w:t>S.B. 158</w:t>
            </w:r>
          </w:p>
        </w:tc>
      </w:tr>
      <w:tr w:rsidR="0007469B" w14:paraId="1B6628CD" w14:textId="77777777" w:rsidTr="00345119">
        <w:tc>
          <w:tcPr>
            <w:tcW w:w="9576" w:type="dxa"/>
          </w:tcPr>
          <w:p w14:paraId="08D62C17" w14:textId="77777777" w:rsidR="008423E4" w:rsidRPr="00861995" w:rsidRDefault="006D52C4" w:rsidP="00FE6038">
            <w:pPr>
              <w:jc w:val="right"/>
            </w:pPr>
            <w:r>
              <w:t xml:space="preserve">By: </w:t>
            </w:r>
            <w:r w:rsidR="00B76415">
              <w:t>Perry</w:t>
            </w:r>
          </w:p>
        </w:tc>
      </w:tr>
      <w:tr w:rsidR="0007469B" w14:paraId="367ED5F2" w14:textId="77777777" w:rsidTr="00345119">
        <w:tc>
          <w:tcPr>
            <w:tcW w:w="9576" w:type="dxa"/>
          </w:tcPr>
          <w:p w14:paraId="39380E06" w14:textId="77777777" w:rsidR="008423E4" w:rsidRPr="00861995" w:rsidRDefault="006D52C4" w:rsidP="00FE6038">
            <w:pPr>
              <w:jc w:val="right"/>
            </w:pPr>
            <w:r>
              <w:t>County Affairs</w:t>
            </w:r>
          </w:p>
        </w:tc>
      </w:tr>
      <w:tr w:rsidR="0007469B" w14:paraId="1BE0DDE9" w14:textId="77777777" w:rsidTr="00345119">
        <w:tc>
          <w:tcPr>
            <w:tcW w:w="9576" w:type="dxa"/>
          </w:tcPr>
          <w:p w14:paraId="3AE26F9E" w14:textId="77777777" w:rsidR="008423E4" w:rsidRDefault="006D52C4" w:rsidP="00FE6038">
            <w:pPr>
              <w:jc w:val="right"/>
            </w:pPr>
            <w:r>
              <w:t>Committee Report (Unamended)</w:t>
            </w:r>
          </w:p>
        </w:tc>
      </w:tr>
    </w:tbl>
    <w:p w14:paraId="1CAE017F" w14:textId="77777777" w:rsidR="008423E4" w:rsidRDefault="008423E4" w:rsidP="00FE6038">
      <w:pPr>
        <w:tabs>
          <w:tab w:val="right" w:pos="9360"/>
        </w:tabs>
      </w:pPr>
    </w:p>
    <w:p w14:paraId="5A7C3469" w14:textId="77777777" w:rsidR="008423E4" w:rsidRDefault="008423E4" w:rsidP="00FE6038"/>
    <w:p w14:paraId="69F380BA" w14:textId="77777777" w:rsidR="008423E4" w:rsidRDefault="008423E4" w:rsidP="00FE603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7469B" w14:paraId="1A9A38A0" w14:textId="77777777" w:rsidTr="00345119">
        <w:tc>
          <w:tcPr>
            <w:tcW w:w="9576" w:type="dxa"/>
          </w:tcPr>
          <w:p w14:paraId="3D9E3E94" w14:textId="77777777" w:rsidR="008423E4" w:rsidRPr="00A8133F" w:rsidRDefault="006D52C4" w:rsidP="00FE603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D399E4" w14:textId="77777777" w:rsidR="008423E4" w:rsidRDefault="008423E4" w:rsidP="00FE6038"/>
          <w:p w14:paraId="22C3AFC6" w14:textId="4D815F29" w:rsidR="008423E4" w:rsidRDefault="006D52C4" w:rsidP="00FE60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most cases, a county is required to deposit county funds in a bank located </w:t>
            </w:r>
            <w:r w:rsidR="00662697">
              <w:t>within</w:t>
            </w:r>
            <w:r>
              <w:t xml:space="preserve"> the county. In rural Texas, however, counties </w:t>
            </w:r>
            <w:r w:rsidR="008C2E97">
              <w:t>may be faced with limited banking options</w:t>
            </w:r>
            <w:r>
              <w:t>. S.B. 158 seeks</w:t>
            </w:r>
            <w:r w:rsidR="008C2E97">
              <w:t xml:space="preserve"> to address this issue by providing for additional conditions under which a county's depository may be located outside the county.</w:t>
            </w:r>
          </w:p>
          <w:p w14:paraId="483B00CB" w14:textId="77777777" w:rsidR="008423E4" w:rsidRPr="00E26B13" w:rsidRDefault="008423E4" w:rsidP="00FE6038">
            <w:pPr>
              <w:rPr>
                <w:b/>
              </w:rPr>
            </w:pPr>
          </w:p>
        </w:tc>
      </w:tr>
      <w:tr w:rsidR="0007469B" w14:paraId="3E2431EE" w14:textId="77777777" w:rsidTr="00345119">
        <w:tc>
          <w:tcPr>
            <w:tcW w:w="9576" w:type="dxa"/>
          </w:tcPr>
          <w:p w14:paraId="297B138A" w14:textId="77777777" w:rsidR="0017725B" w:rsidRDefault="006D52C4" w:rsidP="00FE60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1A95E8F" w14:textId="77777777" w:rsidR="0017725B" w:rsidRDefault="0017725B" w:rsidP="00FE6038">
            <w:pPr>
              <w:rPr>
                <w:b/>
                <w:u w:val="single"/>
              </w:rPr>
            </w:pPr>
          </w:p>
          <w:p w14:paraId="2C1E4099" w14:textId="1FA0F24B" w:rsidR="00564631" w:rsidRPr="00564631" w:rsidRDefault="006D52C4" w:rsidP="00FE603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</w:t>
            </w:r>
            <w:r>
              <w:t>enses, or change the eligibility of a person for community supervision, parole, or mandatory supervision.</w:t>
            </w:r>
          </w:p>
          <w:p w14:paraId="7D54ED65" w14:textId="77777777" w:rsidR="0017725B" w:rsidRPr="0017725B" w:rsidRDefault="0017725B" w:rsidP="00FE6038">
            <w:pPr>
              <w:rPr>
                <w:b/>
                <w:u w:val="single"/>
              </w:rPr>
            </w:pPr>
          </w:p>
        </w:tc>
      </w:tr>
      <w:tr w:rsidR="0007469B" w14:paraId="4BAA8031" w14:textId="77777777" w:rsidTr="00345119">
        <w:tc>
          <w:tcPr>
            <w:tcW w:w="9576" w:type="dxa"/>
          </w:tcPr>
          <w:p w14:paraId="0D9C4338" w14:textId="77777777" w:rsidR="008423E4" w:rsidRPr="00A8133F" w:rsidRDefault="006D52C4" w:rsidP="00FE603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ECB60F5" w14:textId="77777777" w:rsidR="008423E4" w:rsidRDefault="008423E4" w:rsidP="00FE6038"/>
          <w:p w14:paraId="28FD421E" w14:textId="16DE3405" w:rsidR="004E06C8" w:rsidRDefault="006D52C4" w:rsidP="00FE60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</w:t>
            </w:r>
            <w:r>
              <w:t xml:space="preserve"> department, agency, or institution.</w:t>
            </w:r>
          </w:p>
          <w:p w14:paraId="6C2B13FB" w14:textId="77777777" w:rsidR="008423E4" w:rsidRPr="00E21FDC" w:rsidRDefault="008423E4" w:rsidP="00FE6038">
            <w:pPr>
              <w:rPr>
                <w:b/>
              </w:rPr>
            </w:pPr>
          </w:p>
        </w:tc>
      </w:tr>
      <w:tr w:rsidR="0007469B" w14:paraId="71FD6D43" w14:textId="77777777" w:rsidTr="00345119">
        <w:tc>
          <w:tcPr>
            <w:tcW w:w="9576" w:type="dxa"/>
          </w:tcPr>
          <w:p w14:paraId="6704A2F4" w14:textId="77777777" w:rsidR="008423E4" w:rsidRPr="00A8133F" w:rsidRDefault="006D52C4" w:rsidP="00FE603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7EC4B99" w14:textId="77777777" w:rsidR="008423E4" w:rsidRDefault="008423E4" w:rsidP="00FE6038"/>
          <w:p w14:paraId="097F2633" w14:textId="64F25EEC" w:rsidR="000D5D83" w:rsidRDefault="006D52C4" w:rsidP="00FE60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158 amends the </w:t>
            </w:r>
            <w:r w:rsidRPr="000D5D83">
              <w:t>Local Government Code</w:t>
            </w:r>
            <w:r>
              <w:t xml:space="preserve"> to authorize a county </w:t>
            </w:r>
            <w:r w:rsidRPr="000D5D83">
              <w:t>commissioners court</w:t>
            </w:r>
            <w:r>
              <w:t xml:space="preserve">, if only one bank located in the county applies to be designated as the county depository, to reject the </w:t>
            </w:r>
            <w:r>
              <w:t>applicant if the applicant proposes the following terms:</w:t>
            </w:r>
          </w:p>
          <w:p w14:paraId="2407CA2D" w14:textId="0FF6BBC6" w:rsidR="000D5D83" w:rsidRDefault="006D52C4" w:rsidP="00FE603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terms that are not in the county's best interest;</w:t>
            </w:r>
          </w:p>
          <w:p w14:paraId="16BA7AE0" w14:textId="3B2BB0B6" w:rsidR="000D5D83" w:rsidRDefault="006D52C4" w:rsidP="00FE603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terms that are not financially competitive with the financial market outside the county; or</w:t>
            </w:r>
          </w:p>
          <w:p w14:paraId="659B2354" w14:textId="16271282" w:rsidR="000D5D83" w:rsidRDefault="006D52C4" w:rsidP="00FE603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terms that impose noncompetitive fees.</w:t>
            </w:r>
          </w:p>
          <w:p w14:paraId="4313ED5C" w14:textId="78233DA5" w:rsidR="000D5D83" w:rsidRDefault="006D52C4" w:rsidP="00FE6038">
            <w:pPr>
              <w:pStyle w:val="Header"/>
              <w:jc w:val="both"/>
            </w:pPr>
            <w:r>
              <w:t>The bill authorize</w:t>
            </w:r>
            <w:r>
              <w:t>s a commissioners court that rejects an applicant to advertise, in the applicable manner for advertising for a depository within the county, for applications from banks in an adjoining county.</w:t>
            </w:r>
          </w:p>
          <w:p w14:paraId="7B00E5B0" w14:textId="6DBE4F25" w:rsidR="000D5D83" w:rsidRDefault="000D5D83" w:rsidP="00FE6038">
            <w:pPr>
              <w:pStyle w:val="Header"/>
              <w:jc w:val="both"/>
            </w:pPr>
          </w:p>
          <w:p w14:paraId="198EE93B" w14:textId="772C9104" w:rsidR="0014581C" w:rsidRDefault="006D52C4" w:rsidP="00FE6038">
            <w:pPr>
              <w:pStyle w:val="Header"/>
              <w:jc w:val="both"/>
            </w:pPr>
            <w:r>
              <w:t xml:space="preserve">S.B. 158 </w:t>
            </w:r>
            <w:r w:rsidR="004F0054">
              <w:t>establishes the following:</w:t>
            </w:r>
          </w:p>
          <w:p w14:paraId="0D3002FE" w14:textId="03C44097" w:rsidR="0014581C" w:rsidRDefault="006D52C4" w:rsidP="00FE6038">
            <w:pPr>
              <w:pStyle w:val="Header"/>
              <w:numPr>
                <w:ilvl w:val="0"/>
                <w:numId w:val="3"/>
              </w:numPr>
              <w:jc w:val="both"/>
            </w:pPr>
            <w:r>
              <w:t>if a bank selected to be a</w:t>
            </w:r>
            <w:r>
              <w:t xml:space="preserve"> county depository and holding county funds is sold to another bank in an adjoining county, the successor bank in the adjoining county </w:t>
            </w:r>
            <w:r w:rsidR="004F0054">
              <w:t xml:space="preserve">may </w:t>
            </w:r>
            <w:r>
              <w:t>continue to serve as a county depository and apply and be selected as a county depository under the following conditi</w:t>
            </w:r>
            <w:r>
              <w:t>ons:</w:t>
            </w:r>
          </w:p>
          <w:p w14:paraId="50059CEE" w14:textId="5CE72EA8" w:rsidR="0014581C" w:rsidRDefault="006D52C4" w:rsidP="00FE6038">
            <w:pPr>
              <w:pStyle w:val="Header"/>
              <w:numPr>
                <w:ilvl w:val="1"/>
                <w:numId w:val="3"/>
              </w:numPr>
              <w:jc w:val="both"/>
            </w:pPr>
            <w:r w:rsidRPr="0014581C">
              <w:t>the successor bank</w:t>
            </w:r>
            <w:r>
              <w:t xml:space="preserve"> continues to have an office in an adjoining county; and</w:t>
            </w:r>
          </w:p>
          <w:p w14:paraId="0C6525D4" w14:textId="21F5D9C7" w:rsidR="0014581C" w:rsidRDefault="006D52C4" w:rsidP="00FE6038">
            <w:pPr>
              <w:pStyle w:val="Header"/>
              <w:numPr>
                <w:ilvl w:val="1"/>
                <w:numId w:val="3"/>
              </w:numPr>
              <w:jc w:val="both"/>
            </w:pPr>
            <w:r w:rsidRPr="0014581C">
              <w:t>the successor bank</w:t>
            </w:r>
            <w:r>
              <w:t xml:space="preserve"> timely applies and is selected to be a county depository in a manner that ensures no lapse of service as a county depository; and</w:t>
            </w:r>
          </w:p>
          <w:p w14:paraId="17B5853A" w14:textId="4E304D61" w:rsidR="0014581C" w:rsidRDefault="006D52C4" w:rsidP="00FE6038">
            <w:pPr>
              <w:pStyle w:val="Header"/>
              <w:numPr>
                <w:ilvl w:val="0"/>
                <w:numId w:val="3"/>
              </w:numPr>
              <w:jc w:val="both"/>
            </w:pPr>
            <w:r>
              <w:t>if a bank selected as a cou</w:t>
            </w:r>
            <w:r>
              <w:t xml:space="preserve">nty depository and holding county funds closes, a branch of the bank in an adjoining county </w:t>
            </w:r>
            <w:r w:rsidR="004F0054">
              <w:t xml:space="preserve">may </w:t>
            </w:r>
            <w:r>
              <w:t xml:space="preserve">continue to serve as a county depository and apply to be a county depository </w:t>
            </w:r>
            <w:r w:rsidR="004F0054">
              <w:t xml:space="preserve">if </w:t>
            </w:r>
            <w:r>
              <w:t>those same conditions</w:t>
            </w:r>
            <w:r w:rsidR="004F0054">
              <w:t xml:space="preserve"> are met</w:t>
            </w:r>
            <w:r>
              <w:t>.</w:t>
            </w:r>
          </w:p>
          <w:p w14:paraId="0BA22C2B" w14:textId="268D5721" w:rsidR="0014581C" w:rsidRDefault="0014581C" w:rsidP="00FE6038">
            <w:pPr>
              <w:pStyle w:val="Header"/>
              <w:jc w:val="both"/>
            </w:pPr>
          </w:p>
          <w:p w14:paraId="208A612D" w14:textId="571E8F9B" w:rsidR="00781240" w:rsidRDefault="006D52C4" w:rsidP="00FE6038">
            <w:pPr>
              <w:pStyle w:val="Header"/>
              <w:jc w:val="both"/>
            </w:pPr>
            <w:r>
              <w:t xml:space="preserve">S.B. 158 does the following with regard to </w:t>
            </w:r>
            <w:r w:rsidR="00EF7D08">
              <w:t xml:space="preserve">statutory </w:t>
            </w:r>
            <w:r>
              <w:t xml:space="preserve">provisions relating to </w:t>
            </w:r>
            <w:r w:rsidR="00BD476D">
              <w:t xml:space="preserve">county depository applicants outside of the county and </w:t>
            </w:r>
            <w:r w:rsidR="00EF7D08">
              <w:t xml:space="preserve">with regard to the bill's provisions relating to </w:t>
            </w:r>
            <w:r w:rsidR="00BD476D">
              <w:t>a successor bank in another county as the county depository:</w:t>
            </w:r>
          </w:p>
          <w:p w14:paraId="10DD8BAD" w14:textId="1834E4AD" w:rsidR="00BD476D" w:rsidRDefault="006D52C4" w:rsidP="00FE6038">
            <w:pPr>
              <w:pStyle w:val="Header"/>
              <w:numPr>
                <w:ilvl w:val="0"/>
                <w:numId w:val="5"/>
              </w:numPr>
              <w:jc w:val="both"/>
            </w:pPr>
            <w:r>
              <w:t>s</w:t>
            </w:r>
            <w:r w:rsidR="00F97D0B">
              <w:t>ubjects</w:t>
            </w:r>
            <w:r>
              <w:t xml:space="preserve"> to such provisions</w:t>
            </w:r>
            <w:r w:rsidR="00F97D0B">
              <w:t xml:space="preserve"> the conditional authority of a </w:t>
            </w:r>
            <w:r w:rsidR="00F97D0B" w:rsidRPr="00F97D0B">
              <w:t xml:space="preserve">commissioners court </w:t>
            </w:r>
            <w:r>
              <w:t>to</w:t>
            </w:r>
            <w:r w:rsidR="00F97D0B" w:rsidRPr="00F97D0B">
              <w:t xml:space="preserve"> select a federally insured bank or banks located outside the county to serve as the depository</w:t>
            </w:r>
            <w:r w:rsidR="00F97D0B">
              <w:t xml:space="preserve"> </w:t>
            </w:r>
            <w:r w:rsidR="00F97D0B" w:rsidRPr="00F97D0B">
              <w:t>for registry funds held by the county clerk and the district clerk</w:t>
            </w:r>
            <w:r>
              <w:t>; and</w:t>
            </w:r>
          </w:p>
          <w:p w14:paraId="081C0343" w14:textId="2406DEC3" w:rsidR="000D5D83" w:rsidRDefault="006D52C4" w:rsidP="00FE6038">
            <w:pPr>
              <w:pStyle w:val="Header"/>
              <w:numPr>
                <w:ilvl w:val="0"/>
                <w:numId w:val="5"/>
              </w:numPr>
              <w:jc w:val="both"/>
            </w:pPr>
            <w:r>
              <w:t>explicitly includes such provisions as provisions to which m</w:t>
            </w:r>
            <w:r w:rsidRPr="00AD3383">
              <w:t>atters reg</w:t>
            </w:r>
            <w:r w:rsidRPr="00AD3383">
              <w:t>arding special depositories for the</w:t>
            </w:r>
            <w:r>
              <w:t xml:space="preserve"> court</w:t>
            </w:r>
            <w:r w:rsidRPr="00AD3383">
              <w:t xml:space="preserve"> registry fund </w:t>
            </w:r>
            <w:r>
              <w:t xml:space="preserve">of </w:t>
            </w:r>
            <w:r w:rsidRPr="00AD3383">
              <w:t>a county with a population of 1.3 million or more are subject</w:t>
            </w:r>
            <w:r>
              <w:t>.</w:t>
            </w:r>
          </w:p>
          <w:p w14:paraId="17CB6C10" w14:textId="77777777" w:rsidR="008423E4" w:rsidRPr="00835628" w:rsidRDefault="008423E4" w:rsidP="00FE6038">
            <w:pPr>
              <w:rPr>
                <w:b/>
              </w:rPr>
            </w:pPr>
          </w:p>
        </w:tc>
      </w:tr>
      <w:tr w:rsidR="0007469B" w14:paraId="383E84FB" w14:textId="77777777" w:rsidTr="00345119">
        <w:tc>
          <w:tcPr>
            <w:tcW w:w="9576" w:type="dxa"/>
          </w:tcPr>
          <w:p w14:paraId="2255A02C" w14:textId="77777777" w:rsidR="008423E4" w:rsidRPr="00A8133F" w:rsidRDefault="006D52C4" w:rsidP="00FE603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EE8323" w14:textId="77777777" w:rsidR="008423E4" w:rsidRDefault="008423E4" w:rsidP="00FE6038"/>
          <w:p w14:paraId="5E29B6AC" w14:textId="7895C35E" w:rsidR="008423E4" w:rsidRPr="003624F2" w:rsidRDefault="006D52C4" w:rsidP="00FE60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151BFFA" w14:textId="77777777" w:rsidR="008423E4" w:rsidRPr="00233FDB" w:rsidRDefault="008423E4" w:rsidP="00FE6038">
            <w:pPr>
              <w:rPr>
                <w:b/>
              </w:rPr>
            </w:pPr>
          </w:p>
        </w:tc>
      </w:tr>
    </w:tbl>
    <w:p w14:paraId="51805CA3" w14:textId="77777777" w:rsidR="008423E4" w:rsidRPr="00BE0E75" w:rsidRDefault="008423E4" w:rsidP="00FE6038">
      <w:pPr>
        <w:jc w:val="both"/>
        <w:rPr>
          <w:rFonts w:ascii="Arial" w:hAnsi="Arial"/>
          <w:sz w:val="16"/>
          <w:szCs w:val="16"/>
        </w:rPr>
      </w:pPr>
    </w:p>
    <w:p w14:paraId="446EBB25" w14:textId="77777777" w:rsidR="004108C3" w:rsidRPr="008423E4" w:rsidRDefault="004108C3" w:rsidP="00FE603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91DB" w14:textId="77777777" w:rsidR="00000000" w:rsidRDefault="006D52C4">
      <w:r>
        <w:separator/>
      </w:r>
    </w:p>
  </w:endnote>
  <w:endnote w:type="continuationSeparator" w:id="0">
    <w:p w14:paraId="5D6FDCAB" w14:textId="77777777" w:rsidR="00000000" w:rsidRDefault="006D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76B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7469B" w14:paraId="39AC2C9F" w14:textId="77777777" w:rsidTr="009C1E9A">
      <w:trPr>
        <w:cantSplit/>
      </w:trPr>
      <w:tc>
        <w:tcPr>
          <w:tcW w:w="0" w:type="pct"/>
        </w:tcPr>
        <w:p w14:paraId="1643C4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CE4D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70F92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13EA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0C58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469B" w14:paraId="1594C9CE" w14:textId="77777777" w:rsidTr="009C1E9A">
      <w:trPr>
        <w:cantSplit/>
      </w:trPr>
      <w:tc>
        <w:tcPr>
          <w:tcW w:w="0" w:type="pct"/>
        </w:tcPr>
        <w:p w14:paraId="1D38AED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988191" w14:textId="77777777" w:rsidR="00EC379B" w:rsidRPr="009C1E9A" w:rsidRDefault="006D52C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30004-D</w:t>
          </w:r>
        </w:p>
      </w:tc>
      <w:tc>
        <w:tcPr>
          <w:tcW w:w="2453" w:type="pct"/>
        </w:tcPr>
        <w:p w14:paraId="4FAF5D22" w14:textId="4A781875" w:rsidR="00EC379B" w:rsidRDefault="006D52C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E41A5">
            <w:t>23.131.1127</w:t>
          </w:r>
          <w:r>
            <w:fldChar w:fldCharType="end"/>
          </w:r>
        </w:p>
      </w:tc>
    </w:tr>
    <w:tr w:rsidR="0007469B" w14:paraId="63B8341F" w14:textId="77777777" w:rsidTr="009C1E9A">
      <w:trPr>
        <w:cantSplit/>
      </w:trPr>
      <w:tc>
        <w:tcPr>
          <w:tcW w:w="0" w:type="pct"/>
        </w:tcPr>
        <w:p w14:paraId="080E9F4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005C0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CD7431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935E5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469B" w14:paraId="1051E0D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CB47E27" w14:textId="77777777" w:rsidR="00EC379B" w:rsidRDefault="006D52C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3585F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02A944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0DA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CD6C" w14:textId="77777777" w:rsidR="00000000" w:rsidRDefault="006D52C4">
      <w:r>
        <w:separator/>
      </w:r>
    </w:p>
  </w:footnote>
  <w:footnote w:type="continuationSeparator" w:id="0">
    <w:p w14:paraId="4B0CEC84" w14:textId="77777777" w:rsidR="00000000" w:rsidRDefault="006D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923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5A6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54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B19"/>
    <w:multiLevelType w:val="hybridMultilevel"/>
    <w:tmpl w:val="74E850DC"/>
    <w:lvl w:ilvl="0" w:tplc="DBCA6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70C7586" w:tentative="1">
      <w:start w:val="1"/>
      <w:numFmt w:val="lowerLetter"/>
      <w:lvlText w:val="%2."/>
      <w:lvlJc w:val="left"/>
      <w:pPr>
        <w:ind w:left="1440" w:hanging="360"/>
      </w:pPr>
    </w:lvl>
    <w:lvl w:ilvl="2" w:tplc="0C964D82" w:tentative="1">
      <w:start w:val="1"/>
      <w:numFmt w:val="lowerRoman"/>
      <w:lvlText w:val="%3."/>
      <w:lvlJc w:val="right"/>
      <w:pPr>
        <w:ind w:left="2160" w:hanging="180"/>
      </w:pPr>
    </w:lvl>
    <w:lvl w:ilvl="3" w:tplc="D2524044" w:tentative="1">
      <w:start w:val="1"/>
      <w:numFmt w:val="decimal"/>
      <w:lvlText w:val="%4."/>
      <w:lvlJc w:val="left"/>
      <w:pPr>
        <w:ind w:left="2880" w:hanging="360"/>
      </w:pPr>
    </w:lvl>
    <w:lvl w:ilvl="4" w:tplc="E676FB1E" w:tentative="1">
      <w:start w:val="1"/>
      <w:numFmt w:val="lowerLetter"/>
      <w:lvlText w:val="%5."/>
      <w:lvlJc w:val="left"/>
      <w:pPr>
        <w:ind w:left="3600" w:hanging="360"/>
      </w:pPr>
    </w:lvl>
    <w:lvl w:ilvl="5" w:tplc="3B7A084A" w:tentative="1">
      <w:start w:val="1"/>
      <w:numFmt w:val="lowerRoman"/>
      <w:lvlText w:val="%6."/>
      <w:lvlJc w:val="right"/>
      <w:pPr>
        <w:ind w:left="4320" w:hanging="180"/>
      </w:pPr>
    </w:lvl>
    <w:lvl w:ilvl="6" w:tplc="5E58D798" w:tentative="1">
      <w:start w:val="1"/>
      <w:numFmt w:val="decimal"/>
      <w:lvlText w:val="%7."/>
      <w:lvlJc w:val="left"/>
      <w:pPr>
        <w:ind w:left="5040" w:hanging="360"/>
      </w:pPr>
    </w:lvl>
    <w:lvl w:ilvl="7" w:tplc="6E36A260" w:tentative="1">
      <w:start w:val="1"/>
      <w:numFmt w:val="lowerLetter"/>
      <w:lvlText w:val="%8."/>
      <w:lvlJc w:val="left"/>
      <w:pPr>
        <w:ind w:left="5760" w:hanging="360"/>
      </w:pPr>
    </w:lvl>
    <w:lvl w:ilvl="8" w:tplc="D4160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6202"/>
    <w:multiLevelType w:val="hybridMultilevel"/>
    <w:tmpl w:val="88BAC09C"/>
    <w:lvl w:ilvl="0" w:tplc="4EDCC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E9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40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61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E3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09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0E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8B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2E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10F6"/>
    <w:multiLevelType w:val="hybridMultilevel"/>
    <w:tmpl w:val="924E1F12"/>
    <w:lvl w:ilvl="0" w:tplc="ABCE9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814E390" w:tentative="1">
      <w:start w:val="1"/>
      <w:numFmt w:val="lowerLetter"/>
      <w:lvlText w:val="%2."/>
      <w:lvlJc w:val="left"/>
      <w:pPr>
        <w:ind w:left="1440" w:hanging="360"/>
      </w:pPr>
    </w:lvl>
    <w:lvl w:ilvl="2" w:tplc="89D41E08" w:tentative="1">
      <w:start w:val="1"/>
      <w:numFmt w:val="lowerRoman"/>
      <w:lvlText w:val="%3."/>
      <w:lvlJc w:val="right"/>
      <w:pPr>
        <w:ind w:left="2160" w:hanging="180"/>
      </w:pPr>
    </w:lvl>
    <w:lvl w:ilvl="3" w:tplc="622EDA8A" w:tentative="1">
      <w:start w:val="1"/>
      <w:numFmt w:val="decimal"/>
      <w:lvlText w:val="%4."/>
      <w:lvlJc w:val="left"/>
      <w:pPr>
        <w:ind w:left="2880" w:hanging="360"/>
      </w:pPr>
    </w:lvl>
    <w:lvl w:ilvl="4" w:tplc="79B46164" w:tentative="1">
      <w:start w:val="1"/>
      <w:numFmt w:val="lowerLetter"/>
      <w:lvlText w:val="%5."/>
      <w:lvlJc w:val="left"/>
      <w:pPr>
        <w:ind w:left="3600" w:hanging="360"/>
      </w:pPr>
    </w:lvl>
    <w:lvl w:ilvl="5" w:tplc="A89E4702" w:tentative="1">
      <w:start w:val="1"/>
      <w:numFmt w:val="lowerRoman"/>
      <w:lvlText w:val="%6."/>
      <w:lvlJc w:val="right"/>
      <w:pPr>
        <w:ind w:left="4320" w:hanging="180"/>
      </w:pPr>
    </w:lvl>
    <w:lvl w:ilvl="6" w:tplc="926001EC" w:tentative="1">
      <w:start w:val="1"/>
      <w:numFmt w:val="decimal"/>
      <w:lvlText w:val="%7."/>
      <w:lvlJc w:val="left"/>
      <w:pPr>
        <w:ind w:left="5040" w:hanging="360"/>
      </w:pPr>
    </w:lvl>
    <w:lvl w:ilvl="7" w:tplc="3B2EA9FA" w:tentative="1">
      <w:start w:val="1"/>
      <w:numFmt w:val="lowerLetter"/>
      <w:lvlText w:val="%8."/>
      <w:lvlJc w:val="left"/>
      <w:pPr>
        <w:ind w:left="5760" w:hanging="360"/>
      </w:pPr>
    </w:lvl>
    <w:lvl w:ilvl="8" w:tplc="809A3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4998"/>
    <w:multiLevelType w:val="hybridMultilevel"/>
    <w:tmpl w:val="36D609F4"/>
    <w:lvl w:ilvl="0" w:tplc="3CD41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C4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420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E2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E1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E4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04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E8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AD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E4F7D"/>
    <w:multiLevelType w:val="hybridMultilevel"/>
    <w:tmpl w:val="71AA1562"/>
    <w:lvl w:ilvl="0" w:tplc="22BA7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4F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84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8D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A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48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83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4C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C3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749">
    <w:abstractNumId w:val="3"/>
  </w:num>
  <w:num w:numId="2" w16cid:durableId="658384739">
    <w:abstractNumId w:val="0"/>
  </w:num>
  <w:num w:numId="3" w16cid:durableId="495615924">
    <w:abstractNumId w:val="1"/>
  </w:num>
  <w:num w:numId="4" w16cid:durableId="2040398451">
    <w:abstractNumId w:val="2"/>
  </w:num>
  <w:num w:numId="5" w16cid:durableId="113517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5"/>
    <w:rsid w:val="00000A70"/>
    <w:rsid w:val="000032B8"/>
    <w:rsid w:val="00003B06"/>
    <w:rsid w:val="000054B9"/>
    <w:rsid w:val="00007461"/>
    <w:rsid w:val="0001117E"/>
    <w:rsid w:val="0001125F"/>
    <w:rsid w:val="000131B5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11D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9B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D83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2B4"/>
    <w:rsid w:val="00141FB6"/>
    <w:rsid w:val="00142F8E"/>
    <w:rsid w:val="00143C8B"/>
    <w:rsid w:val="0014581C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1A5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8BE"/>
    <w:rsid w:val="004D5098"/>
    <w:rsid w:val="004D6497"/>
    <w:rsid w:val="004E06C8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054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617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631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857"/>
    <w:rsid w:val="006402E7"/>
    <w:rsid w:val="00640CB6"/>
    <w:rsid w:val="00641B42"/>
    <w:rsid w:val="00645750"/>
    <w:rsid w:val="00650692"/>
    <w:rsid w:val="006508D3"/>
    <w:rsid w:val="00650AFA"/>
    <w:rsid w:val="0066269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2C4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240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0F4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7B5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E97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383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415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76D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122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96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1E7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D08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D0B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038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071995-46B5-427D-AEC4-6E183153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5D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5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5D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5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5D83"/>
    <w:rPr>
      <w:b/>
      <w:bCs/>
    </w:rPr>
  </w:style>
  <w:style w:type="character" w:styleId="Hyperlink">
    <w:name w:val="Hyperlink"/>
    <w:basedOn w:val="DefaultParagraphFont"/>
    <w:unhideWhenUsed/>
    <w:rsid w:val="00F97D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E06C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00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2614</Characters>
  <Application>Microsoft Office Word</Application>
  <DocSecurity>4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SB00158 (Committee Report (Unamended))</vt:lpstr>
    </vt:vector>
  </TitlesOfParts>
  <Company>State of Texas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30004</dc:subject>
  <dc:creator>State of Texas</dc:creator>
  <dc:description>SB 158 by Perry-(H)County Affairs</dc:description>
  <cp:lastModifiedBy>Damian Duarte</cp:lastModifiedBy>
  <cp:revision>2</cp:revision>
  <cp:lastPrinted>2003-11-26T17:21:00Z</cp:lastPrinted>
  <dcterms:created xsi:type="dcterms:W3CDTF">2023-05-17T20:11:00Z</dcterms:created>
  <dcterms:modified xsi:type="dcterms:W3CDTF">2023-05-17T20:11:00Z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23.131.1127</vt:lpwstr>
  </property>
</Properties>
</file>