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C78CC" w14:paraId="671020A5" w14:textId="77777777" w:rsidTr="00345119">
        <w:tc>
          <w:tcPr>
            <w:tcW w:w="9576" w:type="dxa"/>
            <w:noWrap/>
          </w:tcPr>
          <w:p w14:paraId="44E02C4B" w14:textId="77777777" w:rsidR="008423E4" w:rsidRPr="0022177D" w:rsidRDefault="006D3857" w:rsidP="008E782C">
            <w:pPr>
              <w:pStyle w:val="Heading1"/>
            </w:pPr>
            <w:r w:rsidRPr="00631897">
              <w:t>BILL ANALYSIS</w:t>
            </w:r>
          </w:p>
        </w:tc>
      </w:tr>
    </w:tbl>
    <w:p w14:paraId="70C14D41" w14:textId="77777777" w:rsidR="008423E4" w:rsidRPr="0022177D" w:rsidRDefault="008423E4" w:rsidP="008E782C">
      <w:pPr>
        <w:jc w:val="center"/>
      </w:pPr>
    </w:p>
    <w:p w14:paraId="42BDA55C" w14:textId="77777777" w:rsidR="008423E4" w:rsidRPr="00B31F0E" w:rsidRDefault="008423E4" w:rsidP="008E782C"/>
    <w:p w14:paraId="007D7FE2" w14:textId="77777777" w:rsidR="008423E4" w:rsidRPr="00742794" w:rsidRDefault="008423E4" w:rsidP="008E78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C78CC" w14:paraId="310FEA39" w14:textId="77777777" w:rsidTr="00345119">
        <w:tc>
          <w:tcPr>
            <w:tcW w:w="9576" w:type="dxa"/>
          </w:tcPr>
          <w:p w14:paraId="699FC330" w14:textId="35A12A3F" w:rsidR="008423E4" w:rsidRPr="00861995" w:rsidRDefault="006D3857" w:rsidP="008E782C">
            <w:pPr>
              <w:jc w:val="right"/>
            </w:pPr>
            <w:r>
              <w:t>C.S.S.B. 159</w:t>
            </w:r>
          </w:p>
        </w:tc>
      </w:tr>
      <w:tr w:rsidR="00BC78CC" w14:paraId="7634463E" w14:textId="77777777" w:rsidTr="00345119">
        <w:tc>
          <w:tcPr>
            <w:tcW w:w="9576" w:type="dxa"/>
          </w:tcPr>
          <w:p w14:paraId="4A994D38" w14:textId="2D5841E2" w:rsidR="008423E4" w:rsidRPr="00861995" w:rsidRDefault="006D3857" w:rsidP="008E782C">
            <w:pPr>
              <w:jc w:val="right"/>
            </w:pPr>
            <w:r>
              <w:t xml:space="preserve">By: </w:t>
            </w:r>
            <w:r w:rsidR="00E06705">
              <w:t>Perry</w:t>
            </w:r>
          </w:p>
        </w:tc>
      </w:tr>
      <w:tr w:rsidR="00BC78CC" w14:paraId="5DEBB7DF" w14:textId="77777777" w:rsidTr="00345119">
        <w:tc>
          <w:tcPr>
            <w:tcW w:w="9576" w:type="dxa"/>
          </w:tcPr>
          <w:p w14:paraId="4E779DC0" w14:textId="3FD7F8BB" w:rsidR="008423E4" w:rsidRPr="00861995" w:rsidRDefault="006D3857" w:rsidP="008E782C">
            <w:pPr>
              <w:jc w:val="right"/>
            </w:pPr>
            <w:r>
              <w:t>Licensing &amp; Administrative Procedures</w:t>
            </w:r>
          </w:p>
        </w:tc>
      </w:tr>
      <w:tr w:rsidR="00BC78CC" w14:paraId="2B18C821" w14:textId="77777777" w:rsidTr="00345119">
        <w:tc>
          <w:tcPr>
            <w:tcW w:w="9576" w:type="dxa"/>
          </w:tcPr>
          <w:p w14:paraId="36F9E025" w14:textId="534E48C6" w:rsidR="008423E4" w:rsidRDefault="006D3857" w:rsidP="008E782C">
            <w:pPr>
              <w:jc w:val="right"/>
            </w:pPr>
            <w:r>
              <w:t>Committee Report (Substituted)</w:t>
            </w:r>
          </w:p>
        </w:tc>
      </w:tr>
    </w:tbl>
    <w:p w14:paraId="70C267E9" w14:textId="77777777" w:rsidR="008423E4" w:rsidRDefault="008423E4" w:rsidP="008E782C">
      <w:pPr>
        <w:tabs>
          <w:tab w:val="right" w:pos="9360"/>
        </w:tabs>
      </w:pPr>
    </w:p>
    <w:p w14:paraId="6D19523F" w14:textId="77777777" w:rsidR="008423E4" w:rsidRDefault="008423E4" w:rsidP="008E782C"/>
    <w:p w14:paraId="7F753DC8" w14:textId="77777777" w:rsidR="008423E4" w:rsidRDefault="008423E4" w:rsidP="008E78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C78CC" w14:paraId="2D392901" w14:textId="77777777" w:rsidTr="00B329A7">
        <w:tc>
          <w:tcPr>
            <w:tcW w:w="9360" w:type="dxa"/>
          </w:tcPr>
          <w:p w14:paraId="4FD02E72" w14:textId="77777777" w:rsidR="008423E4" w:rsidRPr="00A8133F" w:rsidRDefault="006D3857" w:rsidP="008E78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92B0F2" w14:textId="77777777" w:rsidR="008423E4" w:rsidRDefault="008423E4" w:rsidP="008E782C"/>
          <w:p w14:paraId="5BAD8A62" w14:textId="155FD6D7" w:rsidR="00F22BCD" w:rsidRDefault="006D3857" w:rsidP="008E78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both a</w:t>
            </w:r>
            <w:r w:rsidR="00886F7B">
              <w:t xml:space="preserve"> shortage of </w:t>
            </w:r>
            <w:r>
              <w:t>c</w:t>
            </w:r>
            <w:r w:rsidR="00886F7B">
              <w:t xml:space="preserve">ertified </w:t>
            </w:r>
            <w:r>
              <w:t>p</w:t>
            </w:r>
            <w:r w:rsidR="00886F7B">
              <w:t xml:space="preserve">ublic </w:t>
            </w:r>
            <w:r>
              <w:t>a</w:t>
            </w:r>
            <w:r w:rsidR="00886F7B">
              <w:t>ccountants</w:t>
            </w:r>
            <w:r>
              <w:t xml:space="preserve"> (CPA</w:t>
            </w:r>
            <w:r w:rsidR="00CD21B7">
              <w:t>s</w:t>
            </w:r>
            <w:r>
              <w:t>)</w:t>
            </w:r>
            <w:r w:rsidR="00886F7B">
              <w:t xml:space="preserve"> and </w:t>
            </w:r>
            <w:r>
              <w:t>a</w:t>
            </w:r>
            <w:r w:rsidR="00886F7B">
              <w:t xml:space="preserve"> decline </w:t>
            </w:r>
            <w:r>
              <w:t>in the number of</w:t>
            </w:r>
            <w:r w:rsidR="00886F7B">
              <w:t xml:space="preserve"> accounting students and graduates who pursue CPA certifications.</w:t>
            </w:r>
            <w:r>
              <w:t xml:space="preserve"> </w:t>
            </w:r>
            <w:r w:rsidR="00C121CD">
              <w:t>C.S.</w:t>
            </w:r>
            <w:r w:rsidR="003E67F1">
              <w:t>S</w:t>
            </w:r>
            <w:r>
              <w:t>.</w:t>
            </w:r>
            <w:r w:rsidR="00886F7B">
              <w:t>B</w:t>
            </w:r>
            <w:r>
              <w:t>.</w:t>
            </w:r>
            <w:r w:rsidR="00027F93">
              <w:t> </w:t>
            </w:r>
            <w:r w:rsidR="003E67F1">
              <w:t xml:space="preserve">159 </w:t>
            </w:r>
            <w:r w:rsidR="004771E3">
              <w:t xml:space="preserve">seeks to reverse these trends by </w:t>
            </w:r>
            <w:r w:rsidR="00886F7B">
              <w:t>updat</w:t>
            </w:r>
            <w:r w:rsidR="004771E3">
              <w:t>ing</w:t>
            </w:r>
            <w:r w:rsidR="00886F7B">
              <w:t xml:space="preserve"> eligibility </w:t>
            </w:r>
            <w:r>
              <w:t xml:space="preserve">requirements </w:t>
            </w:r>
            <w:r w:rsidR="00322BC4">
              <w:t xml:space="preserve">to take </w:t>
            </w:r>
            <w:r>
              <w:t>the</w:t>
            </w:r>
            <w:r w:rsidR="00C121CD">
              <w:t xml:space="preserve"> uniform</w:t>
            </w:r>
            <w:r>
              <w:t xml:space="preserve"> CPA </w:t>
            </w:r>
            <w:r w:rsidR="00886F7B">
              <w:t xml:space="preserve">examination and for </w:t>
            </w:r>
            <w:r>
              <w:t xml:space="preserve">issuance of a </w:t>
            </w:r>
            <w:r w:rsidR="00886F7B">
              <w:t xml:space="preserve">certificate </w:t>
            </w:r>
            <w:r>
              <w:t>to practice public accountancy</w:t>
            </w:r>
            <w:r w:rsidR="004771E3">
              <w:t xml:space="preserve"> to</w:t>
            </w:r>
            <w:r w:rsidR="00322BC4">
              <w:t xml:space="preserve"> </w:t>
            </w:r>
            <w:r w:rsidR="00886F7B">
              <w:t>allow accounting students and recent graduates to begin taking the CPA exam</w:t>
            </w:r>
            <w:r w:rsidR="00322BC4">
              <w:t>ination</w:t>
            </w:r>
            <w:r w:rsidR="00886F7B">
              <w:t xml:space="preserve"> </w:t>
            </w:r>
            <w:r w:rsidR="004771E3">
              <w:t>earlier</w:t>
            </w:r>
            <w:r w:rsidR="00886F7B">
              <w:t xml:space="preserve"> </w:t>
            </w:r>
            <w:r w:rsidR="00322BC4">
              <w:t xml:space="preserve">and broadening acceptable work experience criteria necessary </w:t>
            </w:r>
            <w:r w:rsidR="00886F7B">
              <w:t xml:space="preserve">to ultimately </w:t>
            </w:r>
            <w:r w:rsidR="00322BC4">
              <w:t xml:space="preserve">earn </w:t>
            </w:r>
            <w:r w:rsidR="00886F7B">
              <w:t>the certification.</w:t>
            </w:r>
            <w:r w:rsidR="00723E52">
              <w:t xml:space="preserve"> The updated work experience requirements bring the standards in line with those of the Uniform Accountancy Act.</w:t>
            </w:r>
          </w:p>
          <w:p w14:paraId="5060D0DA" w14:textId="75ABD23E" w:rsidR="008423E4" w:rsidRPr="00E26B13" w:rsidRDefault="006D3857" w:rsidP="008E782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BC78CC" w14:paraId="16E94539" w14:textId="77777777" w:rsidTr="00B329A7">
        <w:tc>
          <w:tcPr>
            <w:tcW w:w="9360" w:type="dxa"/>
          </w:tcPr>
          <w:p w14:paraId="04E6D971" w14:textId="77777777" w:rsidR="0017725B" w:rsidRDefault="006D3857" w:rsidP="008E78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3081DE" w14:textId="77777777" w:rsidR="0017725B" w:rsidRDefault="0017725B" w:rsidP="008E782C">
            <w:pPr>
              <w:rPr>
                <w:b/>
                <w:u w:val="single"/>
              </w:rPr>
            </w:pPr>
          </w:p>
          <w:p w14:paraId="5B8C457B" w14:textId="2F525C5F" w:rsidR="002E2326" w:rsidRPr="002E2326" w:rsidRDefault="006D3857" w:rsidP="008E782C">
            <w:pPr>
              <w:jc w:val="both"/>
            </w:pPr>
            <w:r>
              <w:t xml:space="preserve">It is the committee's opinion that this bill does not expressly create a criminal offense, increase the punishment </w:t>
            </w:r>
            <w:r>
              <w:t>for an existing criminal offense or category of offenses, or change the eligibility of a person for community supervision, parole, or mandatory supervision.</w:t>
            </w:r>
          </w:p>
          <w:p w14:paraId="25CF25C9" w14:textId="77777777" w:rsidR="0017725B" w:rsidRPr="0017725B" w:rsidRDefault="0017725B" w:rsidP="008E782C">
            <w:pPr>
              <w:rPr>
                <w:b/>
                <w:u w:val="single"/>
              </w:rPr>
            </w:pPr>
          </w:p>
        </w:tc>
      </w:tr>
      <w:tr w:rsidR="00BC78CC" w14:paraId="0162B86E" w14:textId="77777777" w:rsidTr="00B329A7">
        <w:tc>
          <w:tcPr>
            <w:tcW w:w="9360" w:type="dxa"/>
          </w:tcPr>
          <w:p w14:paraId="0E114DD6" w14:textId="77777777" w:rsidR="008423E4" w:rsidRPr="00A8133F" w:rsidRDefault="006D3857" w:rsidP="008E78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E3D213" w14:textId="77777777" w:rsidR="008423E4" w:rsidRDefault="008423E4" w:rsidP="008E782C"/>
          <w:p w14:paraId="45929026" w14:textId="22B0E8AF" w:rsidR="002E2326" w:rsidRDefault="006D3857" w:rsidP="008E78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5EBFDBDE" w14:textId="77777777" w:rsidR="008423E4" w:rsidRPr="00E21FDC" w:rsidRDefault="008423E4" w:rsidP="008E782C">
            <w:pPr>
              <w:rPr>
                <w:b/>
              </w:rPr>
            </w:pPr>
          </w:p>
        </w:tc>
      </w:tr>
      <w:tr w:rsidR="00BC78CC" w14:paraId="777BCF56" w14:textId="77777777" w:rsidTr="00B329A7">
        <w:tc>
          <w:tcPr>
            <w:tcW w:w="9360" w:type="dxa"/>
          </w:tcPr>
          <w:p w14:paraId="434A1333" w14:textId="77777777" w:rsidR="008423E4" w:rsidRPr="00A8133F" w:rsidRDefault="006D3857" w:rsidP="008E78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CF710F" w14:textId="77777777" w:rsidR="008423E4" w:rsidRDefault="008423E4" w:rsidP="008E782C"/>
          <w:p w14:paraId="0AD58B9E" w14:textId="3493E60C" w:rsidR="00504F82" w:rsidRDefault="006D3857" w:rsidP="008E78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F550D">
              <w:t>S</w:t>
            </w:r>
            <w:r>
              <w:t xml:space="preserve">.B. </w:t>
            </w:r>
            <w:r w:rsidR="003E67F1">
              <w:t xml:space="preserve">159 </w:t>
            </w:r>
            <w:r>
              <w:t xml:space="preserve">amends the Occupations Code to </w:t>
            </w:r>
            <w:r w:rsidR="007856AC">
              <w:t xml:space="preserve">decrease </w:t>
            </w:r>
            <w:r>
              <w:t xml:space="preserve">from 150 to 120 the </w:t>
            </w:r>
            <w:r w:rsidR="009A1BC0">
              <w:t xml:space="preserve">minimum </w:t>
            </w:r>
            <w:r>
              <w:t>number of semester hours</w:t>
            </w:r>
            <w:r>
              <w:t xml:space="preserve"> or quarter-hour equivalents in </w:t>
            </w:r>
            <w:r w:rsidR="00254A7C">
              <w:t>courses recognized by the</w:t>
            </w:r>
            <w:r w:rsidR="00E5557C">
              <w:t xml:space="preserve"> </w:t>
            </w:r>
            <w:r w:rsidR="00254A7C" w:rsidRPr="00254A7C">
              <w:t>Texas State Board of Public Accountancy</w:t>
            </w:r>
            <w:r w:rsidR="00324406">
              <w:t xml:space="preserve"> (TSBPA)</w:t>
            </w:r>
            <w:r w:rsidR="00254A7C">
              <w:t xml:space="preserve"> that </w:t>
            </w:r>
            <w:r w:rsidR="00E5557C">
              <w:t xml:space="preserve">an </w:t>
            </w:r>
            <w:r w:rsidR="00052206">
              <w:t>applicant for the uniform CPA examination</w:t>
            </w:r>
            <w:r w:rsidR="00176413">
              <w:t xml:space="preserve"> who satisfies other existing education requirements</w:t>
            </w:r>
            <w:r w:rsidR="00E5557C">
              <w:t xml:space="preserve"> must complete to be eligible to take the examination</w:t>
            </w:r>
            <w:r w:rsidR="00833746">
              <w:t>. The bill</w:t>
            </w:r>
            <w:r w:rsidR="00E5557C">
              <w:t xml:space="preserve"> </w:t>
            </w:r>
            <w:r w:rsidR="00176413">
              <w:t xml:space="preserve">replaces the requirement that </w:t>
            </w:r>
            <w:r w:rsidR="00F50A09">
              <w:t>those hours</w:t>
            </w:r>
            <w:r w:rsidR="0042083A">
              <w:t xml:space="preserve"> include an accounting concentration or equivalent courses </w:t>
            </w:r>
            <w:r w:rsidR="00713CC9">
              <w:t xml:space="preserve">as determined by TSBPA rule </w:t>
            </w:r>
            <w:r w:rsidR="0042083A">
              <w:t xml:space="preserve">with a requirement that the hours </w:t>
            </w:r>
            <w:r w:rsidR="00E5557C">
              <w:t>include</w:t>
            </w:r>
            <w:r w:rsidR="00833746">
              <w:t xml:space="preserve"> </w:t>
            </w:r>
            <w:r w:rsidR="00E5557C">
              <w:t>a</w:t>
            </w:r>
            <w:r w:rsidRPr="00504F82">
              <w:t>t least 24 semester h</w:t>
            </w:r>
            <w:r w:rsidRPr="00504F82">
              <w:t xml:space="preserve">ours of accounting or equivalent courses as determined by </w:t>
            </w:r>
            <w:r w:rsidR="00B06E59">
              <w:t xml:space="preserve">TSBPA </w:t>
            </w:r>
            <w:r w:rsidRPr="00504F82">
              <w:t>rule</w:t>
            </w:r>
            <w:r w:rsidR="00833746">
              <w:t>.</w:t>
            </w:r>
            <w:r w:rsidR="007856AC">
              <w:t xml:space="preserve"> The</w:t>
            </w:r>
            <w:r w:rsidR="009B045F">
              <w:t>se provisions</w:t>
            </w:r>
            <w:r w:rsidR="007856AC">
              <w:t xml:space="preserve"> appl</w:t>
            </w:r>
            <w:r w:rsidR="000C6BE4">
              <w:t>y</w:t>
            </w:r>
            <w:r w:rsidR="0096202C">
              <w:t xml:space="preserve"> </w:t>
            </w:r>
            <w:r w:rsidR="007856AC">
              <w:t>only to an application to take an examination submitted on or after the bill's effective date.</w:t>
            </w:r>
            <w:r w:rsidR="00B96C41">
              <w:t xml:space="preserve"> </w:t>
            </w:r>
          </w:p>
          <w:p w14:paraId="230CC11B" w14:textId="77777777" w:rsidR="0092420A" w:rsidRDefault="0092420A" w:rsidP="008E78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BF6FE0" w14:textId="2F5A15CE" w:rsidR="008423E4" w:rsidRDefault="006D3857" w:rsidP="008E782C">
            <w:pPr>
              <w:jc w:val="both"/>
            </w:pPr>
            <w:r>
              <w:t>C.S.</w:t>
            </w:r>
            <w:r w:rsidR="00AF550D">
              <w:t>S</w:t>
            </w:r>
            <w:r>
              <w:t xml:space="preserve">.B. </w:t>
            </w:r>
            <w:r w:rsidR="003E67F1">
              <w:t xml:space="preserve">159 </w:t>
            </w:r>
            <w:r>
              <w:t>clarif</w:t>
            </w:r>
            <w:r w:rsidR="0092420A">
              <w:t>ies</w:t>
            </w:r>
            <w:r>
              <w:t xml:space="preserve"> that an applicant</w:t>
            </w:r>
            <w:r w:rsidR="001E380D">
              <w:t xml:space="preserve"> for a </w:t>
            </w:r>
            <w:r w:rsidR="00E9563D">
              <w:t xml:space="preserve">public accountant </w:t>
            </w:r>
            <w:r w:rsidR="001E380D">
              <w:t>certificate</w:t>
            </w:r>
            <w:r>
              <w:t xml:space="preserve"> must still complete at least 150 </w:t>
            </w:r>
            <w:r w:rsidRPr="00B96C41">
              <w:t>semester hours or quarter-hour equivalents</w:t>
            </w:r>
            <w:r>
              <w:t xml:space="preserve"> </w:t>
            </w:r>
            <w:r w:rsidR="001E380D">
              <w:t xml:space="preserve">in TSBPA-recognized </w:t>
            </w:r>
            <w:r>
              <w:t>courses</w:t>
            </w:r>
            <w:r w:rsidR="001E380D">
              <w:t>, including an accounting concentration or equivalent courses meeting certain eligibility requirements, as determined by TSBPA rule,</w:t>
            </w:r>
            <w:r>
              <w:t xml:space="preserve"> </w:t>
            </w:r>
            <w:r w:rsidR="001E380D">
              <w:t>as a condition of</w:t>
            </w:r>
            <w:r>
              <w:t xml:space="preserve"> eligib</w:t>
            </w:r>
            <w:r w:rsidR="001E380D">
              <w:t xml:space="preserve">ility </w:t>
            </w:r>
            <w:r w:rsidR="00E46E01">
              <w:t>to receive</w:t>
            </w:r>
            <w:r w:rsidR="001E380D">
              <w:t xml:space="preserve"> the</w:t>
            </w:r>
            <w:r w:rsidR="000C6BE4">
              <w:t xml:space="preserve"> </w:t>
            </w:r>
            <w:r>
              <w:t xml:space="preserve">certificate. </w:t>
            </w:r>
            <w:r w:rsidR="008C4A46">
              <w:t>Additionally, t</w:t>
            </w:r>
            <w:r>
              <w:t xml:space="preserve">he bill removes </w:t>
            </w:r>
            <w:r w:rsidR="005003ED">
              <w:t xml:space="preserve">as </w:t>
            </w:r>
            <w:r>
              <w:t xml:space="preserve">a </w:t>
            </w:r>
            <w:r w:rsidR="005003ED">
              <w:t xml:space="preserve">condition of eligibility for the certificate the </w:t>
            </w:r>
            <w:r w:rsidR="00623440">
              <w:t>condition</w:t>
            </w:r>
            <w:r>
              <w:t xml:space="preserve"> </w:t>
            </w:r>
            <w:r w:rsidR="005003ED">
              <w:t>that</w:t>
            </w:r>
            <w:r w:rsidRPr="00B96C41">
              <w:t xml:space="preserve"> </w:t>
            </w:r>
            <w:r w:rsidR="00623440">
              <w:t>the</w:t>
            </w:r>
            <w:r w:rsidRPr="00B96C41">
              <w:t xml:space="preserve"> person </w:t>
            </w:r>
            <w:r w:rsidR="00623440">
              <w:t xml:space="preserve">has </w:t>
            </w:r>
            <w:r w:rsidRPr="00B96C41">
              <w:t>complete</w:t>
            </w:r>
            <w:r w:rsidR="00623440">
              <w:t>d</w:t>
            </w:r>
            <w:r w:rsidRPr="00B96C41">
              <w:t xml:space="preserve"> at least two years of work experience under the supervision of a </w:t>
            </w:r>
            <w:r w:rsidRPr="00B96C41">
              <w:t>certified public accountant.</w:t>
            </w:r>
            <w:r>
              <w:t xml:space="preserve"> </w:t>
            </w:r>
            <w:r w:rsidR="009B045F">
              <w:t>Th</w:t>
            </w:r>
            <w:r w:rsidR="00917DC7">
              <w:t>e</w:t>
            </w:r>
            <w:r w:rsidR="00E9563D">
              <w:t>se</w:t>
            </w:r>
            <w:r w:rsidR="00917DC7">
              <w:t xml:space="preserve"> </w:t>
            </w:r>
            <w:r w:rsidR="003A4CEA">
              <w:t xml:space="preserve">provisions </w:t>
            </w:r>
            <w:r w:rsidR="00917DC7" w:rsidRPr="00917DC7">
              <w:t>apply only to an application for a public accountant certificate submitted on or after the</w:t>
            </w:r>
            <w:r w:rsidR="00917DC7">
              <w:t xml:space="preserve"> bill</w:t>
            </w:r>
            <w:r w:rsidR="00864A29">
              <w:t>'</w:t>
            </w:r>
            <w:r w:rsidR="00917DC7">
              <w:t>s</w:t>
            </w:r>
            <w:r w:rsidR="00917DC7" w:rsidRPr="00917DC7">
              <w:t xml:space="preserve"> effective date</w:t>
            </w:r>
            <w:r w:rsidR="00917DC7">
              <w:t>.</w:t>
            </w:r>
          </w:p>
          <w:p w14:paraId="6543DCD5" w14:textId="2BA2C72A" w:rsidR="00F22BCD" w:rsidRPr="00835628" w:rsidRDefault="00F22BCD" w:rsidP="008E782C">
            <w:pPr>
              <w:jc w:val="both"/>
              <w:rPr>
                <w:b/>
              </w:rPr>
            </w:pPr>
          </w:p>
        </w:tc>
      </w:tr>
      <w:tr w:rsidR="00BC78CC" w14:paraId="2DAEF5FB" w14:textId="77777777" w:rsidTr="00B329A7">
        <w:tc>
          <w:tcPr>
            <w:tcW w:w="9360" w:type="dxa"/>
          </w:tcPr>
          <w:p w14:paraId="63CE0F06" w14:textId="77777777" w:rsidR="008423E4" w:rsidRPr="00A8133F" w:rsidRDefault="006D3857" w:rsidP="008E782C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CE5F9E" w14:textId="77777777" w:rsidR="003F3F7D" w:rsidRDefault="003F3F7D" w:rsidP="008E782C">
            <w:pPr>
              <w:keepNext/>
            </w:pPr>
          </w:p>
          <w:p w14:paraId="732351E3" w14:textId="0B70E358" w:rsidR="008423E4" w:rsidRDefault="006D3857" w:rsidP="008E782C">
            <w:pPr>
              <w:keepNext/>
            </w:pPr>
            <w:r>
              <w:t>September 1, 2023.</w:t>
            </w:r>
          </w:p>
          <w:p w14:paraId="5C2FB7E7" w14:textId="77777777" w:rsidR="008423E4" w:rsidRPr="00233FDB" w:rsidRDefault="008423E4" w:rsidP="008E782C">
            <w:pPr>
              <w:rPr>
                <w:b/>
              </w:rPr>
            </w:pPr>
          </w:p>
        </w:tc>
      </w:tr>
      <w:tr w:rsidR="00BC78CC" w14:paraId="1E08F15A" w14:textId="77777777" w:rsidTr="00B329A7">
        <w:tc>
          <w:tcPr>
            <w:tcW w:w="9360" w:type="dxa"/>
          </w:tcPr>
          <w:p w14:paraId="2FACADA8" w14:textId="77777777" w:rsidR="00E06705" w:rsidRDefault="006D3857" w:rsidP="008E782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7CCB88D5" w14:textId="77777777" w:rsidR="00AF550D" w:rsidRDefault="00AF550D" w:rsidP="008E782C">
            <w:pPr>
              <w:jc w:val="both"/>
            </w:pPr>
          </w:p>
          <w:p w14:paraId="5AAF2258" w14:textId="43390BE1" w:rsidR="00AF550D" w:rsidRDefault="006D3857" w:rsidP="008E782C">
            <w:pPr>
              <w:jc w:val="both"/>
            </w:pPr>
            <w:r>
              <w:t>While C.S</w:t>
            </w:r>
            <w:r>
              <w:t>.</w:t>
            </w:r>
            <w:r w:rsidR="00847BB1">
              <w:t>S</w:t>
            </w:r>
            <w:r>
              <w:t xml:space="preserve">.B. </w:t>
            </w:r>
            <w:r w:rsidR="003E67F1">
              <w:t xml:space="preserve">159 </w:t>
            </w:r>
            <w:r>
              <w:t xml:space="preserve">may differ from the </w:t>
            </w:r>
            <w:r w:rsidR="004C520B">
              <w:t xml:space="preserve">engrossed </w:t>
            </w:r>
            <w:r>
              <w:t xml:space="preserve">in minor or nonsubstantive ways, the following summarizes the substantial differences between the </w:t>
            </w:r>
            <w:r w:rsidR="004C520B">
              <w:t xml:space="preserve">engrossed </w:t>
            </w:r>
            <w:r>
              <w:t>and committee substitute versions of the bill.</w:t>
            </w:r>
          </w:p>
          <w:p w14:paraId="667DA28C" w14:textId="2BFF8173" w:rsidR="00AF550D" w:rsidRDefault="00AF550D" w:rsidP="008E782C">
            <w:pPr>
              <w:jc w:val="both"/>
            </w:pPr>
          </w:p>
          <w:p w14:paraId="0415D52C" w14:textId="7E78DB50" w:rsidR="00AF550D" w:rsidRDefault="006D3857" w:rsidP="008E782C">
            <w:pPr>
              <w:jc w:val="both"/>
            </w:pPr>
            <w:r>
              <w:t xml:space="preserve">The substitute omits </w:t>
            </w:r>
            <w:r w:rsidR="00BC116D">
              <w:t xml:space="preserve">the </w:t>
            </w:r>
            <w:r>
              <w:t xml:space="preserve">provision </w:t>
            </w:r>
            <w:r w:rsidR="00FD6A0D">
              <w:t>from</w:t>
            </w:r>
            <w:r>
              <w:t xml:space="preserve"> the </w:t>
            </w:r>
            <w:r w:rsidR="004C520B">
              <w:t xml:space="preserve">engrossed </w:t>
            </w:r>
            <w:r>
              <w:t xml:space="preserve">that </w:t>
            </w:r>
            <w:r w:rsidRPr="00AF550D">
              <w:t>p</w:t>
            </w:r>
            <w:r w:rsidRPr="00AF550D">
              <w:t>rohibit</w:t>
            </w:r>
            <w:r w:rsidR="00FD6A0D">
              <w:t>ed</w:t>
            </w:r>
            <w:r w:rsidRPr="00AF550D">
              <w:t xml:space="preserve"> TSBPA rules</w:t>
            </w:r>
            <w:r>
              <w:t xml:space="preserve"> </w:t>
            </w:r>
            <w:r w:rsidRPr="00AF550D">
              <w:t>from requiring an applicant</w:t>
            </w:r>
            <w:r>
              <w:t xml:space="preserve"> for </w:t>
            </w:r>
            <w:r w:rsidR="00FD6A0D">
              <w:t xml:space="preserve">the uniform CPA examination </w:t>
            </w:r>
            <w:r w:rsidRPr="00AF550D">
              <w:t>to complete more than 21 semester hours of upper-level accounting courses.</w:t>
            </w:r>
          </w:p>
          <w:p w14:paraId="65342F56" w14:textId="0BC563E3" w:rsidR="00AF550D" w:rsidRPr="00AF550D" w:rsidRDefault="00AF550D" w:rsidP="008E782C">
            <w:pPr>
              <w:jc w:val="both"/>
            </w:pPr>
          </w:p>
        </w:tc>
      </w:tr>
      <w:tr w:rsidR="00BC78CC" w14:paraId="6CFEA14E" w14:textId="77777777" w:rsidTr="00B329A7">
        <w:tc>
          <w:tcPr>
            <w:tcW w:w="9360" w:type="dxa"/>
          </w:tcPr>
          <w:p w14:paraId="7FAEB910" w14:textId="77777777" w:rsidR="00E06705" w:rsidRDefault="00E06705" w:rsidP="008E782C">
            <w:pPr>
              <w:jc w:val="both"/>
              <w:rPr>
                <w:b/>
                <w:u w:val="single"/>
              </w:rPr>
            </w:pPr>
          </w:p>
        </w:tc>
      </w:tr>
      <w:tr w:rsidR="00BC78CC" w14:paraId="57E0FD8C" w14:textId="77777777" w:rsidTr="00B329A7">
        <w:tc>
          <w:tcPr>
            <w:tcW w:w="9360" w:type="dxa"/>
          </w:tcPr>
          <w:p w14:paraId="4D47D5C6" w14:textId="77777777" w:rsidR="00E06705" w:rsidRPr="00E06705" w:rsidRDefault="00E06705" w:rsidP="008E782C">
            <w:pPr>
              <w:jc w:val="both"/>
            </w:pPr>
          </w:p>
        </w:tc>
      </w:tr>
      <w:tr w:rsidR="00BC78CC" w14:paraId="28A622D5" w14:textId="77777777" w:rsidTr="00B329A7">
        <w:tc>
          <w:tcPr>
            <w:tcW w:w="9360" w:type="dxa"/>
          </w:tcPr>
          <w:p w14:paraId="6DEC9893" w14:textId="77777777" w:rsidR="00E06705" w:rsidRDefault="00E06705" w:rsidP="008E782C">
            <w:pPr>
              <w:jc w:val="both"/>
              <w:rPr>
                <w:b/>
                <w:u w:val="single"/>
              </w:rPr>
            </w:pPr>
          </w:p>
        </w:tc>
      </w:tr>
    </w:tbl>
    <w:p w14:paraId="2C1F6897" w14:textId="77777777" w:rsidR="008423E4" w:rsidRPr="00BE0E75" w:rsidRDefault="008423E4" w:rsidP="008E782C">
      <w:pPr>
        <w:jc w:val="both"/>
        <w:rPr>
          <w:rFonts w:ascii="Arial" w:hAnsi="Arial"/>
          <w:sz w:val="16"/>
          <w:szCs w:val="16"/>
        </w:rPr>
      </w:pPr>
    </w:p>
    <w:p w14:paraId="4BFC2A7E" w14:textId="77777777" w:rsidR="004108C3" w:rsidRPr="008423E4" w:rsidRDefault="004108C3" w:rsidP="008E782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E665" w14:textId="77777777" w:rsidR="00000000" w:rsidRDefault="006D3857">
      <w:r>
        <w:separator/>
      </w:r>
    </w:p>
  </w:endnote>
  <w:endnote w:type="continuationSeparator" w:id="0">
    <w:p w14:paraId="45AFB932" w14:textId="77777777" w:rsidR="00000000" w:rsidRDefault="006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DA7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C78CC" w14:paraId="2788A1CA" w14:textId="77777777" w:rsidTr="009C1E9A">
      <w:trPr>
        <w:cantSplit/>
      </w:trPr>
      <w:tc>
        <w:tcPr>
          <w:tcW w:w="0" w:type="pct"/>
        </w:tcPr>
        <w:p w14:paraId="3AB143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80F2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EB57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7F22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4CBA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78CC" w14:paraId="0021E41C" w14:textId="77777777" w:rsidTr="009C1E9A">
      <w:trPr>
        <w:cantSplit/>
      </w:trPr>
      <w:tc>
        <w:tcPr>
          <w:tcW w:w="0" w:type="pct"/>
        </w:tcPr>
        <w:p w14:paraId="3FB38B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04A4D4" w14:textId="65D6360E" w:rsidR="00EC379B" w:rsidRPr="009C1E9A" w:rsidRDefault="006D38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23607-D</w:t>
          </w:r>
        </w:p>
      </w:tc>
      <w:tc>
        <w:tcPr>
          <w:tcW w:w="2453" w:type="pct"/>
        </w:tcPr>
        <w:p w14:paraId="5B344AAE" w14:textId="7DD32B14" w:rsidR="00EC379B" w:rsidRDefault="006D38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782C">
            <w:t>23.104.2077</w:t>
          </w:r>
          <w:r>
            <w:fldChar w:fldCharType="end"/>
          </w:r>
        </w:p>
      </w:tc>
    </w:tr>
    <w:tr w:rsidR="00BC78CC" w14:paraId="059B0BC3" w14:textId="77777777" w:rsidTr="009C1E9A">
      <w:trPr>
        <w:cantSplit/>
      </w:trPr>
      <w:tc>
        <w:tcPr>
          <w:tcW w:w="0" w:type="pct"/>
        </w:tcPr>
        <w:p w14:paraId="2F38B3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39F25C" w14:textId="3051BF06" w:rsidR="00EC379B" w:rsidRPr="009C1E9A" w:rsidRDefault="006D38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22083</w:t>
          </w:r>
        </w:p>
      </w:tc>
      <w:tc>
        <w:tcPr>
          <w:tcW w:w="2453" w:type="pct"/>
        </w:tcPr>
        <w:p w14:paraId="231386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10E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78CC" w14:paraId="23305E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1EE2DA" w14:textId="77777777" w:rsidR="00EC379B" w:rsidRDefault="006D38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F182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B2B5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25B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2D33" w14:textId="77777777" w:rsidR="00000000" w:rsidRDefault="006D3857">
      <w:r>
        <w:separator/>
      </w:r>
    </w:p>
  </w:footnote>
  <w:footnote w:type="continuationSeparator" w:id="0">
    <w:p w14:paraId="2CDE59EA" w14:textId="77777777" w:rsidR="00000000" w:rsidRDefault="006D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4ED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1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29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7A6E"/>
    <w:multiLevelType w:val="hybridMultilevel"/>
    <w:tmpl w:val="4198BDFA"/>
    <w:lvl w:ilvl="0" w:tplc="DC0A1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A1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85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8C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F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E7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A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4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88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2"/>
    <w:rsid w:val="00000A70"/>
    <w:rsid w:val="000032B8"/>
    <w:rsid w:val="00003B06"/>
    <w:rsid w:val="000054B9"/>
    <w:rsid w:val="00007461"/>
    <w:rsid w:val="0001117E"/>
    <w:rsid w:val="0001125F"/>
    <w:rsid w:val="000116E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27F93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20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B9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BE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F7B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A3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413"/>
    <w:rsid w:val="0017725B"/>
    <w:rsid w:val="0018050C"/>
    <w:rsid w:val="0018117F"/>
    <w:rsid w:val="001824ED"/>
    <w:rsid w:val="001828EF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07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80D"/>
    <w:rsid w:val="001E4070"/>
    <w:rsid w:val="001E655E"/>
    <w:rsid w:val="001F3CB8"/>
    <w:rsid w:val="001F3F56"/>
    <w:rsid w:val="001F6B91"/>
    <w:rsid w:val="001F703C"/>
    <w:rsid w:val="001F7496"/>
    <w:rsid w:val="00200B9E"/>
    <w:rsid w:val="00200BF5"/>
    <w:rsid w:val="002010D1"/>
    <w:rsid w:val="00201338"/>
    <w:rsid w:val="0020775D"/>
    <w:rsid w:val="002116DD"/>
    <w:rsid w:val="0021383D"/>
    <w:rsid w:val="0021617E"/>
    <w:rsid w:val="00216BBA"/>
    <w:rsid w:val="00216E12"/>
    <w:rsid w:val="00217466"/>
    <w:rsid w:val="0021751D"/>
    <w:rsid w:val="00217C49"/>
    <w:rsid w:val="00220404"/>
    <w:rsid w:val="00221777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A7C"/>
    <w:rsid w:val="00255EB6"/>
    <w:rsid w:val="00257429"/>
    <w:rsid w:val="002600AA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8E"/>
    <w:rsid w:val="002E21B8"/>
    <w:rsid w:val="002E2326"/>
    <w:rsid w:val="002E785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43E"/>
    <w:rsid w:val="00313DFE"/>
    <w:rsid w:val="003143B2"/>
    <w:rsid w:val="00314821"/>
    <w:rsid w:val="0031483F"/>
    <w:rsid w:val="0031741B"/>
    <w:rsid w:val="00321337"/>
    <w:rsid w:val="00321F2F"/>
    <w:rsid w:val="00322BC4"/>
    <w:rsid w:val="003237F6"/>
    <w:rsid w:val="00324077"/>
    <w:rsid w:val="00324406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D80"/>
    <w:rsid w:val="003A4CE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7F1"/>
    <w:rsid w:val="003E6CB0"/>
    <w:rsid w:val="003F1F5E"/>
    <w:rsid w:val="003F286A"/>
    <w:rsid w:val="003F3F7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83A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1E3"/>
    <w:rsid w:val="00480080"/>
    <w:rsid w:val="004824A7"/>
    <w:rsid w:val="00483AF0"/>
    <w:rsid w:val="00484167"/>
    <w:rsid w:val="00491F8F"/>
    <w:rsid w:val="00492211"/>
    <w:rsid w:val="00492325"/>
    <w:rsid w:val="00492A6D"/>
    <w:rsid w:val="00494303"/>
    <w:rsid w:val="0049682B"/>
    <w:rsid w:val="00496B0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0B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C5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F8C"/>
    <w:rsid w:val="004F57CB"/>
    <w:rsid w:val="004F64F6"/>
    <w:rsid w:val="004F69C0"/>
    <w:rsid w:val="00500121"/>
    <w:rsid w:val="005003ED"/>
    <w:rsid w:val="005017AC"/>
    <w:rsid w:val="00501E8A"/>
    <w:rsid w:val="00504F82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672"/>
    <w:rsid w:val="00551CA6"/>
    <w:rsid w:val="00555034"/>
    <w:rsid w:val="005570D2"/>
    <w:rsid w:val="00561528"/>
    <w:rsid w:val="0056153F"/>
    <w:rsid w:val="00561B14"/>
    <w:rsid w:val="00561EDA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D1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44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E3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2D1"/>
    <w:rsid w:val="006979F8"/>
    <w:rsid w:val="006A19D6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85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596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CC9"/>
    <w:rsid w:val="00717739"/>
    <w:rsid w:val="00717DE4"/>
    <w:rsid w:val="00721724"/>
    <w:rsid w:val="00722EC5"/>
    <w:rsid w:val="00723326"/>
    <w:rsid w:val="00723E52"/>
    <w:rsid w:val="00724252"/>
    <w:rsid w:val="00727E7A"/>
    <w:rsid w:val="0073163C"/>
    <w:rsid w:val="00731DE3"/>
    <w:rsid w:val="007335BB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914"/>
    <w:rsid w:val="007509BE"/>
    <w:rsid w:val="0075287B"/>
    <w:rsid w:val="00755C7B"/>
    <w:rsid w:val="00756AD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6AC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06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4D1"/>
    <w:rsid w:val="007E59E8"/>
    <w:rsid w:val="007F3861"/>
    <w:rsid w:val="007F4162"/>
    <w:rsid w:val="007F5441"/>
    <w:rsid w:val="007F7668"/>
    <w:rsid w:val="007F79C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746"/>
    <w:rsid w:val="008347A9"/>
    <w:rsid w:val="00834D57"/>
    <w:rsid w:val="00835628"/>
    <w:rsid w:val="00835E90"/>
    <w:rsid w:val="0084176D"/>
    <w:rsid w:val="008423E4"/>
    <w:rsid w:val="00842900"/>
    <w:rsid w:val="00847BB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A29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F7B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A46"/>
    <w:rsid w:val="008D27A5"/>
    <w:rsid w:val="008D2AAB"/>
    <w:rsid w:val="008D309C"/>
    <w:rsid w:val="008D58F9"/>
    <w:rsid w:val="008D7427"/>
    <w:rsid w:val="008E10DF"/>
    <w:rsid w:val="008E3338"/>
    <w:rsid w:val="008E47BE"/>
    <w:rsid w:val="008E782C"/>
    <w:rsid w:val="008E7BF0"/>
    <w:rsid w:val="008F09DF"/>
    <w:rsid w:val="008F3053"/>
    <w:rsid w:val="008F3136"/>
    <w:rsid w:val="008F40DF"/>
    <w:rsid w:val="008F4278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DC7"/>
    <w:rsid w:val="00917E0C"/>
    <w:rsid w:val="00920711"/>
    <w:rsid w:val="00921A1E"/>
    <w:rsid w:val="0092420A"/>
    <w:rsid w:val="00924EA9"/>
    <w:rsid w:val="00925CE1"/>
    <w:rsid w:val="00925F5C"/>
    <w:rsid w:val="00930897"/>
    <w:rsid w:val="009320D2"/>
    <w:rsid w:val="009329FB"/>
    <w:rsid w:val="00932C77"/>
    <w:rsid w:val="00932ECE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0B"/>
    <w:rsid w:val="00960F2D"/>
    <w:rsid w:val="0096202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BC0"/>
    <w:rsid w:val="009A39F5"/>
    <w:rsid w:val="009A4588"/>
    <w:rsid w:val="009A5EA5"/>
    <w:rsid w:val="009B00C2"/>
    <w:rsid w:val="009B045F"/>
    <w:rsid w:val="009B26AB"/>
    <w:rsid w:val="009B329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E4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B5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086"/>
    <w:rsid w:val="00A720DC"/>
    <w:rsid w:val="00A803CF"/>
    <w:rsid w:val="00A8133F"/>
    <w:rsid w:val="00A82CB4"/>
    <w:rsid w:val="00A837A8"/>
    <w:rsid w:val="00A83C36"/>
    <w:rsid w:val="00A84AC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614"/>
    <w:rsid w:val="00AE2263"/>
    <w:rsid w:val="00AE248E"/>
    <w:rsid w:val="00AE2D12"/>
    <w:rsid w:val="00AE2F06"/>
    <w:rsid w:val="00AE4F1C"/>
    <w:rsid w:val="00AF1433"/>
    <w:rsid w:val="00AF48B4"/>
    <w:rsid w:val="00AF4923"/>
    <w:rsid w:val="00AF550D"/>
    <w:rsid w:val="00AF7C74"/>
    <w:rsid w:val="00B000AF"/>
    <w:rsid w:val="00B04E79"/>
    <w:rsid w:val="00B06E59"/>
    <w:rsid w:val="00B07488"/>
    <w:rsid w:val="00B075A2"/>
    <w:rsid w:val="00B10DD2"/>
    <w:rsid w:val="00B115DC"/>
    <w:rsid w:val="00B11952"/>
    <w:rsid w:val="00B1404D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9A7"/>
    <w:rsid w:val="00B34F25"/>
    <w:rsid w:val="00B37971"/>
    <w:rsid w:val="00B43672"/>
    <w:rsid w:val="00B473D8"/>
    <w:rsid w:val="00B5165A"/>
    <w:rsid w:val="00B524C1"/>
    <w:rsid w:val="00B52C8D"/>
    <w:rsid w:val="00B564BF"/>
    <w:rsid w:val="00B56E7A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C41"/>
    <w:rsid w:val="00B96E87"/>
    <w:rsid w:val="00BA146A"/>
    <w:rsid w:val="00BA32EE"/>
    <w:rsid w:val="00BB5B36"/>
    <w:rsid w:val="00BC027B"/>
    <w:rsid w:val="00BC116D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8CC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1CD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02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4B"/>
    <w:rsid w:val="00CC7B9E"/>
    <w:rsid w:val="00CD06CA"/>
    <w:rsid w:val="00CD076A"/>
    <w:rsid w:val="00CD180C"/>
    <w:rsid w:val="00CD21B7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6A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949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856"/>
    <w:rsid w:val="00E04B30"/>
    <w:rsid w:val="00E05FB7"/>
    <w:rsid w:val="00E066E6"/>
    <w:rsid w:val="00E06705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E01"/>
    <w:rsid w:val="00E500F1"/>
    <w:rsid w:val="00E51446"/>
    <w:rsid w:val="00E529C8"/>
    <w:rsid w:val="00E5557C"/>
    <w:rsid w:val="00E55DA0"/>
    <w:rsid w:val="00E56033"/>
    <w:rsid w:val="00E56EC6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63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33F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02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BCD"/>
    <w:rsid w:val="00F25C26"/>
    <w:rsid w:val="00F25CC2"/>
    <w:rsid w:val="00F27573"/>
    <w:rsid w:val="00F307B6"/>
    <w:rsid w:val="00F30EB8"/>
    <w:rsid w:val="00F31876"/>
    <w:rsid w:val="00F31C67"/>
    <w:rsid w:val="00F34A5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DB9"/>
    <w:rsid w:val="00F4569E"/>
    <w:rsid w:val="00F45AFC"/>
    <w:rsid w:val="00F462F4"/>
    <w:rsid w:val="00F50130"/>
    <w:rsid w:val="00F50A09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FFC"/>
    <w:rsid w:val="00FC726C"/>
    <w:rsid w:val="00FD1B4B"/>
    <w:rsid w:val="00FD1B94"/>
    <w:rsid w:val="00FD6A0D"/>
    <w:rsid w:val="00FE19C5"/>
    <w:rsid w:val="00FE3C3F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933AC-DD61-4703-BD68-FAEF3EA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3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7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746"/>
    <w:rPr>
      <w:b/>
      <w:bCs/>
    </w:rPr>
  </w:style>
  <w:style w:type="paragraph" w:styleId="Revision">
    <w:name w:val="Revision"/>
    <w:hidden/>
    <w:uiPriority w:val="99"/>
    <w:semiHidden/>
    <w:rsid w:val="00F34A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4856"/>
    <w:pPr>
      <w:ind w:left="720"/>
      <w:contextualSpacing/>
    </w:pPr>
  </w:style>
  <w:style w:type="character" w:styleId="Hyperlink">
    <w:name w:val="Hyperlink"/>
    <w:basedOn w:val="DefaultParagraphFont"/>
    <w:unhideWhenUsed/>
    <w:rsid w:val="00CC7B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2766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SB00159 (Committee Report (Substituted))</vt:lpstr>
    </vt:vector>
  </TitlesOfParts>
  <Company>State of Texas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23607</dc:subject>
  <dc:creator>State of Texas</dc:creator>
  <dc:description>SB 159 by Perry-(H)Licensing &amp; Administrative Procedures (Substitute Document Number: 88R 22083)</dc:description>
  <cp:lastModifiedBy>Alan Gonzalez Otero</cp:lastModifiedBy>
  <cp:revision>2</cp:revision>
  <cp:lastPrinted>2003-11-26T17:21:00Z</cp:lastPrinted>
  <dcterms:created xsi:type="dcterms:W3CDTF">2023-04-19T14:26:00Z</dcterms:created>
  <dcterms:modified xsi:type="dcterms:W3CDTF">2023-04-19T14:26:00Z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23.104.2077</vt:lpwstr>
  </property>
</Properties>
</file>