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35F45" w14:paraId="3C2501F0" w14:textId="77777777" w:rsidTr="00345119">
        <w:tc>
          <w:tcPr>
            <w:tcW w:w="9576" w:type="dxa"/>
            <w:noWrap/>
          </w:tcPr>
          <w:p w14:paraId="6C16A781" w14:textId="77777777" w:rsidR="008423E4" w:rsidRPr="0022177D" w:rsidRDefault="004A3943" w:rsidP="002970AA">
            <w:pPr>
              <w:pStyle w:val="Heading1"/>
            </w:pPr>
            <w:r w:rsidRPr="00631897">
              <w:t>BILL ANALYSIS</w:t>
            </w:r>
          </w:p>
        </w:tc>
      </w:tr>
    </w:tbl>
    <w:p w14:paraId="72C83A9D" w14:textId="77777777" w:rsidR="008423E4" w:rsidRPr="0022177D" w:rsidRDefault="008423E4" w:rsidP="002970AA">
      <w:pPr>
        <w:jc w:val="center"/>
      </w:pPr>
    </w:p>
    <w:p w14:paraId="067D7E7E" w14:textId="77777777" w:rsidR="008423E4" w:rsidRPr="00B31F0E" w:rsidRDefault="008423E4" w:rsidP="002970AA"/>
    <w:p w14:paraId="176A5927" w14:textId="77777777" w:rsidR="008423E4" w:rsidRPr="00742794" w:rsidRDefault="008423E4" w:rsidP="002970A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35F45" w14:paraId="02C0DD30" w14:textId="77777777" w:rsidTr="00345119">
        <w:tc>
          <w:tcPr>
            <w:tcW w:w="9576" w:type="dxa"/>
          </w:tcPr>
          <w:p w14:paraId="65EAFB8A" w14:textId="7FDA22A8" w:rsidR="008423E4" w:rsidRPr="00861995" w:rsidRDefault="004A3943" w:rsidP="002970AA">
            <w:pPr>
              <w:jc w:val="right"/>
            </w:pPr>
            <w:r>
              <w:t>S.B. 186</w:t>
            </w:r>
          </w:p>
        </w:tc>
      </w:tr>
      <w:tr w:rsidR="00F35F45" w14:paraId="5747FF9E" w14:textId="77777777" w:rsidTr="00345119">
        <w:tc>
          <w:tcPr>
            <w:tcW w:w="9576" w:type="dxa"/>
          </w:tcPr>
          <w:p w14:paraId="3BF23E2C" w14:textId="425E5467" w:rsidR="008423E4" w:rsidRPr="00861995" w:rsidRDefault="004A3943" w:rsidP="002970AA">
            <w:pPr>
              <w:jc w:val="right"/>
            </w:pPr>
            <w:r>
              <w:t xml:space="preserve">By: </w:t>
            </w:r>
            <w:r w:rsidR="00320146">
              <w:t>Miles</w:t>
            </w:r>
          </w:p>
        </w:tc>
      </w:tr>
      <w:tr w:rsidR="00F35F45" w14:paraId="54C76577" w14:textId="77777777" w:rsidTr="00345119">
        <w:tc>
          <w:tcPr>
            <w:tcW w:w="9576" w:type="dxa"/>
          </w:tcPr>
          <w:p w14:paraId="002634E2" w14:textId="4EBAEEFE" w:rsidR="008423E4" w:rsidRPr="00861995" w:rsidRDefault="004A3943" w:rsidP="002970AA">
            <w:pPr>
              <w:jc w:val="right"/>
            </w:pPr>
            <w:r>
              <w:t>Human Services</w:t>
            </w:r>
          </w:p>
        </w:tc>
      </w:tr>
      <w:tr w:rsidR="00F35F45" w14:paraId="288741F9" w14:textId="77777777" w:rsidTr="00345119">
        <w:tc>
          <w:tcPr>
            <w:tcW w:w="9576" w:type="dxa"/>
          </w:tcPr>
          <w:p w14:paraId="008C7C40" w14:textId="54142638" w:rsidR="008423E4" w:rsidRDefault="004A3943" w:rsidP="002970AA">
            <w:pPr>
              <w:jc w:val="right"/>
            </w:pPr>
            <w:r>
              <w:t>Committee Report (Unamended)</w:t>
            </w:r>
          </w:p>
        </w:tc>
      </w:tr>
    </w:tbl>
    <w:p w14:paraId="67FAB311" w14:textId="77777777" w:rsidR="008423E4" w:rsidRDefault="008423E4" w:rsidP="002970AA">
      <w:pPr>
        <w:tabs>
          <w:tab w:val="right" w:pos="9360"/>
        </w:tabs>
      </w:pPr>
    </w:p>
    <w:p w14:paraId="17B46EB4" w14:textId="77777777" w:rsidR="008423E4" w:rsidRDefault="008423E4" w:rsidP="002970AA"/>
    <w:p w14:paraId="0007B12F" w14:textId="77777777" w:rsidR="008423E4" w:rsidRDefault="008423E4" w:rsidP="002970A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35F45" w14:paraId="7B47F7C1" w14:textId="77777777" w:rsidTr="00345119">
        <w:tc>
          <w:tcPr>
            <w:tcW w:w="9576" w:type="dxa"/>
          </w:tcPr>
          <w:p w14:paraId="4224F79F" w14:textId="77777777" w:rsidR="008423E4" w:rsidRPr="00A8133F" w:rsidRDefault="004A3943" w:rsidP="002970A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F3C544D" w14:textId="77777777" w:rsidR="008423E4" w:rsidRDefault="008423E4" w:rsidP="002970AA"/>
          <w:p w14:paraId="687ABE4D" w14:textId="3C99E647" w:rsidR="008423E4" w:rsidRDefault="004A3943" w:rsidP="002970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Current law</w:t>
            </w:r>
            <w:r w:rsidR="00B048CB">
              <w:t xml:space="preserve"> authorizes counties and cities to locally regulate boarding home facilities. However, many cities and counties</w:t>
            </w:r>
            <w:r w:rsidR="007602D1">
              <w:t>--</w:t>
            </w:r>
            <w:r w:rsidR="00B048CB">
              <w:t>both rural and urban</w:t>
            </w:r>
            <w:r w:rsidR="007602D1">
              <w:t>--</w:t>
            </w:r>
            <w:r w:rsidR="00B048CB">
              <w:t xml:space="preserve">are plagued with unscrupulous boarding home operators who evade local regulation and </w:t>
            </w:r>
            <w:r w:rsidR="00974CDC">
              <w:t xml:space="preserve">who </w:t>
            </w:r>
            <w:r w:rsidR="00B048CB">
              <w:t xml:space="preserve">operate without oversight while having control over some of </w:t>
            </w:r>
            <w:r w:rsidR="00974CDC">
              <w:t>Texas'</w:t>
            </w:r>
            <w:r w:rsidR="00B048CB">
              <w:t xml:space="preserve"> most vulnerable residents. The Harris County Sheriff's Office (HCSO) estimates at least 140 such facilities operate in unincorporated Harris County alone. The Houston Police Department and HCSO each maintain full-time boarding home enforcement units. In September 2020, a 911 response to a rogue boarding home in Harris County revealed that a three</w:t>
            </w:r>
            <w:r w:rsidR="007602D1">
              <w:t>-</w:t>
            </w:r>
            <w:r w:rsidR="00B048CB">
              <w:t>bedroom, one</w:t>
            </w:r>
            <w:r w:rsidR="007602D1">
              <w:t>-</w:t>
            </w:r>
            <w:r w:rsidR="00B048CB">
              <w:t xml:space="preserve">bathroom, single family residence was housing almost 40 individuals in poor condition. This one response </w:t>
            </w:r>
            <w:r w:rsidR="006803E9">
              <w:t xml:space="preserve">uncovered individuals with </w:t>
            </w:r>
            <w:r w:rsidR="00B048CB">
              <w:t>gaping wounds</w:t>
            </w:r>
            <w:r w:rsidR="006803E9">
              <w:t xml:space="preserve"> and</w:t>
            </w:r>
            <w:r w:rsidR="00B048CB">
              <w:t xml:space="preserve"> obvious neglect</w:t>
            </w:r>
            <w:r w:rsidR="007602D1">
              <w:t>,</w:t>
            </w:r>
            <w:r w:rsidR="00B048CB">
              <w:t xml:space="preserve"> and </w:t>
            </w:r>
            <w:r w:rsidR="006803E9">
              <w:t xml:space="preserve">revealed </w:t>
            </w:r>
            <w:r w:rsidR="00B048CB">
              <w:t xml:space="preserve">allegations of coerced sexual acts and prostitution. As a result of </w:t>
            </w:r>
            <w:r w:rsidR="00B417CA">
              <w:t xml:space="preserve">the </w:t>
            </w:r>
            <w:r w:rsidR="00B048CB">
              <w:t xml:space="preserve">investigation, it became apparent that many of the home's residents had been discharged by local hospitals and immediately ended up at this boarding home. </w:t>
            </w:r>
            <w:r w:rsidR="006803E9">
              <w:t>L</w:t>
            </w:r>
            <w:r w:rsidR="00B048CB">
              <w:t>aw enforcement</w:t>
            </w:r>
            <w:r w:rsidR="006803E9">
              <w:t>,</w:t>
            </w:r>
            <w:r w:rsidR="00B048CB">
              <w:t xml:space="preserve"> group home operators,</w:t>
            </w:r>
            <w:r w:rsidR="006803E9">
              <w:t xml:space="preserve"> and other stakeholders</w:t>
            </w:r>
            <w:r w:rsidR="00B048CB">
              <w:t xml:space="preserve"> </w:t>
            </w:r>
            <w:r>
              <w:t xml:space="preserve">have </w:t>
            </w:r>
            <w:r w:rsidR="00B048CB">
              <w:t xml:space="preserve">corroborated </w:t>
            </w:r>
            <w:r>
              <w:t xml:space="preserve">that </w:t>
            </w:r>
            <w:r w:rsidR="00B048CB">
              <w:t xml:space="preserve">this issue </w:t>
            </w:r>
            <w:r w:rsidR="00EB36DC">
              <w:t xml:space="preserve">is </w:t>
            </w:r>
            <w:r w:rsidR="00B048CB">
              <w:t>a feature of this industry. S.B. 186</w:t>
            </w:r>
            <w:r>
              <w:t xml:space="preserve"> seeks to</w:t>
            </w:r>
            <w:r w:rsidR="00B048CB">
              <w:t xml:space="preserve"> address this </w:t>
            </w:r>
            <w:r w:rsidR="006803E9">
              <w:t xml:space="preserve">issue </w:t>
            </w:r>
            <w:r w:rsidR="00B048CB">
              <w:t xml:space="preserve">by </w:t>
            </w:r>
            <w:r w:rsidR="00DD7341">
              <w:t xml:space="preserve">authorizing </w:t>
            </w:r>
            <w:r w:rsidR="008E68DA">
              <w:t>a</w:t>
            </w:r>
            <w:r w:rsidR="00B048CB">
              <w:t xml:space="preserve"> hospital</w:t>
            </w:r>
            <w:r w:rsidR="008E68DA">
              <w:t xml:space="preserve"> or other health care facility to</w:t>
            </w:r>
            <w:r w:rsidR="00B048CB">
              <w:t xml:space="preserve"> discharge</w:t>
            </w:r>
            <w:r w:rsidR="00B417CA">
              <w:t xml:space="preserve"> or release</w:t>
            </w:r>
            <w:r w:rsidR="00B048CB">
              <w:t xml:space="preserve"> </w:t>
            </w:r>
            <w:r w:rsidR="008E68DA">
              <w:t xml:space="preserve">a patient </w:t>
            </w:r>
            <w:r w:rsidR="00B048CB">
              <w:t xml:space="preserve">to </w:t>
            </w:r>
            <w:r w:rsidR="008E68DA">
              <w:t>a</w:t>
            </w:r>
            <w:r w:rsidR="00DD7341" w:rsidRPr="00DD7341">
              <w:t xml:space="preserve"> group home, boarding home facility, or similar group-centered facility</w:t>
            </w:r>
            <w:r w:rsidR="00DD7341">
              <w:t xml:space="preserve"> on the condition that the facility operator is</w:t>
            </w:r>
            <w:r w:rsidR="008E68DA">
              <w:t xml:space="preserve"> </w:t>
            </w:r>
            <w:r w:rsidR="00B048CB">
              <w:t xml:space="preserve">appropriately licensed </w:t>
            </w:r>
            <w:r w:rsidR="00DD7341">
              <w:t>or permitted</w:t>
            </w:r>
            <w:r>
              <w:t xml:space="preserve"> and providing certain financial </w:t>
            </w:r>
            <w:r>
              <w:t>incentives to comply with the new law</w:t>
            </w:r>
            <w:r w:rsidR="00B048CB">
              <w:t xml:space="preserve">. </w:t>
            </w:r>
          </w:p>
          <w:p w14:paraId="47E36FE1" w14:textId="77777777" w:rsidR="008423E4" w:rsidRPr="00E26B13" w:rsidRDefault="008423E4" w:rsidP="002970AA">
            <w:pPr>
              <w:rPr>
                <w:b/>
              </w:rPr>
            </w:pPr>
          </w:p>
        </w:tc>
      </w:tr>
      <w:tr w:rsidR="00F35F45" w14:paraId="283ACA7A" w14:textId="77777777" w:rsidTr="00345119">
        <w:tc>
          <w:tcPr>
            <w:tcW w:w="9576" w:type="dxa"/>
          </w:tcPr>
          <w:p w14:paraId="12F8B255" w14:textId="77777777" w:rsidR="0017725B" w:rsidRDefault="004A3943" w:rsidP="002970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9DE2D3C" w14:textId="77777777" w:rsidR="0017725B" w:rsidRDefault="0017725B" w:rsidP="002970AA">
            <w:pPr>
              <w:rPr>
                <w:b/>
                <w:u w:val="single"/>
              </w:rPr>
            </w:pPr>
          </w:p>
          <w:p w14:paraId="250AC8D0" w14:textId="29C697F9" w:rsidR="00B61248" w:rsidRPr="00B61248" w:rsidRDefault="004A3943" w:rsidP="002970A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</w:t>
            </w:r>
            <w:r>
              <w:t>igibility of a person for community supervision, parole, or mandatory supervision.</w:t>
            </w:r>
          </w:p>
          <w:p w14:paraId="6CE1A9C5" w14:textId="77777777" w:rsidR="0017725B" w:rsidRPr="0017725B" w:rsidRDefault="0017725B" w:rsidP="002970AA">
            <w:pPr>
              <w:rPr>
                <w:b/>
                <w:u w:val="single"/>
              </w:rPr>
            </w:pPr>
          </w:p>
        </w:tc>
      </w:tr>
      <w:tr w:rsidR="00F35F45" w14:paraId="6F98287D" w14:textId="77777777" w:rsidTr="00345119">
        <w:tc>
          <w:tcPr>
            <w:tcW w:w="9576" w:type="dxa"/>
          </w:tcPr>
          <w:p w14:paraId="727670FA" w14:textId="77777777" w:rsidR="008423E4" w:rsidRPr="00A8133F" w:rsidRDefault="004A3943" w:rsidP="002970A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D90BAD" w14:textId="77777777" w:rsidR="008423E4" w:rsidRDefault="008423E4" w:rsidP="002970AA"/>
          <w:p w14:paraId="6F2A7C9E" w14:textId="4BFBB541" w:rsidR="00B61248" w:rsidRDefault="004A3943" w:rsidP="002970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</w:t>
            </w:r>
            <w:r>
              <w:t xml:space="preserve"> institution.</w:t>
            </w:r>
          </w:p>
          <w:p w14:paraId="373E643C" w14:textId="77777777" w:rsidR="008423E4" w:rsidRPr="00E21FDC" w:rsidRDefault="008423E4" w:rsidP="002970AA">
            <w:pPr>
              <w:rPr>
                <w:b/>
              </w:rPr>
            </w:pPr>
          </w:p>
        </w:tc>
      </w:tr>
      <w:tr w:rsidR="00F35F45" w14:paraId="1850D4A8" w14:textId="77777777" w:rsidTr="00345119">
        <w:tc>
          <w:tcPr>
            <w:tcW w:w="9576" w:type="dxa"/>
          </w:tcPr>
          <w:p w14:paraId="3B562352" w14:textId="77777777" w:rsidR="008423E4" w:rsidRPr="00A8133F" w:rsidRDefault="004A3943" w:rsidP="002970A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295C772" w14:textId="77777777" w:rsidR="008423E4" w:rsidRDefault="008423E4" w:rsidP="002970AA"/>
          <w:p w14:paraId="77114544" w14:textId="7E179A7C" w:rsidR="009C36CD" w:rsidRDefault="004A3943" w:rsidP="002970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186 amends the </w:t>
            </w:r>
            <w:r w:rsidRPr="00B61248">
              <w:t>Health and Safety Code</w:t>
            </w:r>
            <w:r>
              <w:t xml:space="preserve"> to </w:t>
            </w:r>
            <w:r w:rsidR="00AB1D21">
              <w:t xml:space="preserve">authorize </w:t>
            </w:r>
            <w:r>
              <w:t xml:space="preserve">a </w:t>
            </w:r>
            <w:r w:rsidRPr="00B61248">
              <w:t>hospital or other health facility</w:t>
            </w:r>
            <w:r>
              <w:t xml:space="preserve"> </w:t>
            </w:r>
            <w:r w:rsidR="00AB1D21">
              <w:t xml:space="preserve">to </w:t>
            </w:r>
            <w:r>
              <w:t>discharg</w:t>
            </w:r>
            <w:r w:rsidR="00AB1D21">
              <w:t>e</w:t>
            </w:r>
            <w:r>
              <w:t xml:space="preserve"> </w:t>
            </w:r>
            <w:r w:rsidRPr="00B61248">
              <w:t>or otherwise releas</w:t>
            </w:r>
            <w:r w:rsidR="00AB1D21">
              <w:t>e</w:t>
            </w:r>
            <w:r w:rsidRPr="00B61248">
              <w:t xml:space="preserve"> a patient to the care of a group home, boarding home facility, or similar group-centered facility </w:t>
            </w:r>
            <w:r w:rsidR="00A61959">
              <w:t>on the condition that the</w:t>
            </w:r>
            <w:r w:rsidRPr="00B61248">
              <w:t xml:space="preserve"> person who operates the group-centered facility holds a license or permit issued in accordance with applicable state law.</w:t>
            </w:r>
            <w:r>
              <w:t xml:space="preserve"> </w:t>
            </w:r>
            <w:r w:rsidR="002476CB">
              <w:t>However, t</w:t>
            </w:r>
            <w:r>
              <w:t xml:space="preserve">he bill </w:t>
            </w:r>
            <w:r w:rsidR="002476CB">
              <w:t>authorizes</w:t>
            </w:r>
            <w:r>
              <w:t xml:space="preserve"> a </w:t>
            </w:r>
            <w:r w:rsidRPr="00B61248">
              <w:t>hospital</w:t>
            </w:r>
            <w:r w:rsidR="00AB1D21">
              <w:t xml:space="preserve"> </w:t>
            </w:r>
            <w:r w:rsidRPr="00B61248">
              <w:t>or other health facility</w:t>
            </w:r>
            <w:r w:rsidR="00A61959">
              <w:t xml:space="preserve"> to</w:t>
            </w:r>
            <w:r w:rsidR="00AB1D21">
              <w:t xml:space="preserve"> d</w:t>
            </w:r>
            <w:r w:rsidRPr="00B61248">
              <w:t>ischarge or</w:t>
            </w:r>
            <w:r w:rsidR="00AB1D21">
              <w:t xml:space="preserve"> </w:t>
            </w:r>
            <w:r w:rsidR="00A61959">
              <w:t xml:space="preserve">otherwise </w:t>
            </w:r>
            <w:r w:rsidRPr="00B61248">
              <w:t xml:space="preserve">release </w:t>
            </w:r>
            <w:r w:rsidR="00FE785A">
              <w:t xml:space="preserve">a </w:t>
            </w:r>
            <w:r w:rsidRPr="00B61248">
              <w:t xml:space="preserve">patient to the care of a group home, boarding home facility, or similar group-centered facility operated by a person who does not hold a license or permit issued in accordance with applicable state law </w:t>
            </w:r>
            <w:r w:rsidR="002476CB">
              <w:t>on one of the following conditions being satisfied</w:t>
            </w:r>
            <w:r w:rsidRPr="00B61248">
              <w:t>:</w:t>
            </w:r>
          </w:p>
          <w:p w14:paraId="3C793242" w14:textId="4F2BE209" w:rsidR="00B61248" w:rsidRDefault="004A3943" w:rsidP="002970A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61248">
              <w:t>no</w:t>
            </w:r>
            <w:r w:rsidRPr="00B61248">
              <w:t xml:space="preserve"> group-centered facility is operated in the county in which the patient is discharged by a person who holds the applicable license or permit; or</w:t>
            </w:r>
          </w:p>
          <w:p w14:paraId="16AE81AB" w14:textId="4D812213" w:rsidR="00B61248" w:rsidRDefault="004A3943" w:rsidP="002970A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61248">
              <w:t>the patient voluntarily elects to reside in the group-centered facility of the unlicensed or unpermitted person</w:t>
            </w:r>
            <w:r w:rsidRPr="00B61248">
              <w:t>.</w:t>
            </w:r>
          </w:p>
          <w:p w14:paraId="5B35B125" w14:textId="77240F86" w:rsidR="00B61248" w:rsidRDefault="004A3943" w:rsidP="002970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establishes that a hospital or </w:t>
            </w:r>
            <w:r w:rsidRPr="00B61248">
              <w:t>other health facility</w:t>
            </w:r>
            <w:r>
              <w:t xml:space="preserve"> is not liable for </w:t>
            </w:r>
            <w:r w:rsidR="00E4688A" w:rsidRPr="00E4688A">
              <w:t>damages to a patient resulting from the patient's discharge or release to</w:t>
            </w:r>
            <w:r w:rsidR="00E4688A">
              <w:t xml:space="preserve"> such</w:t>
            </w:r>
            <w:r w:rsidR="00E4688A" w:rsidRPr="00E4688A">
              <w:t xml:space="preserve"> a home</w:t>
            </w:r>
            <w:r>
              <w:t xml:space="preserve"> or</w:t>
            </w:r>
            <w:r w:rsidR="00E4688A" w:rsidRPr="00E4688A">
              <w:t xml:space="preserve"> facility</w:t>
            </w:r>
            <w:r>
              <w:t xml:space="preserve"> operated by an unlicensed or unpermitted person</w:t>
            </w:r>
            <w:r w:rsidR="00FB7A22">
              <w:t xml:space="preserve"> under those conditions</w:t>
            </w:r>
            <w:r w:rsidR="00CC0966">
              <w:t xml:space="preserve">. </w:t>
            </w:r>
            <w:r w:rsidR="00FB7A22">
              <w:t>This liability provision</w:t>
            </w:r>
            <w:r w:rsidR="00CC0966">
              <w:t xml:space="preserve"> applies only to a cause of action that </w:t>
            </w:r>
            <w:r w:rsidR="00CC0966" w:rsidRPr="00E4688A">
              <w:t xml:space="preserve">accrues on or after the </w:t>
            </w:r>
            <w:r w:rsidR="00CC0966">
              <w:t xml:space="preserve">bill's </w:t>
            </w:r>
            <w:r w:rsidR="00CC0966" w:rsidRPr="00E4688A">
              <w:t>effective date</w:t>
            </w:r>
            <w:r w:rsidR="00E4688A">
              <w:t>.</w:t>
            </w:r>
          </w:p>
          <w:p w14:paraId="507BE332" w14:textId="3BC7E4CF" w:rsidR="00E4688A" w:rsidRDefault="00E4688A" w:rsidP="002970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EA1A566" w14:textId="6B061BEB" w:rsidR="00E4688A" w:rsidRDefault="004A3943" w:rsidP="002970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186 prohibits a local health authority from </w:t>
            </w:r>
            <w:r w:rsidRPr="00E4688A">
              <w:t>issu</w:t>
            </w:r>
            <w:r>
              <w:t>ing</w:t>
            </w:r>
            <w:r w:rsidRPr="00E4688A">
              <w:t xml:space="preserve"> an order authorizing a hospital or health facility to discharge or release a patient to a g</w:t>
            </w:r>
            <w:r w:rsidRPr="00E4688A">
              <w:t xml:space="preserve">roup-centered facility in a manner that conflicts with </w:t>
            </w:r>
            <w:r w:rsidR="00FB7A22">
              <w:t>the bill's provisions</w:t>
            </w:r>
            <w:r w:rsidRPr="00E4688A">
              <w:t>.</w:t>
            </w:r>
          </w:p>
          <w:p w14:paraId="6C9B2E6C" w14:textId="77777777" w:rsidR="008423E4" w:rsidRPr="00835628" w:rsidRDefault="008423E4" w:rsidP="002970AA">
            <w:pPr>
              <w:rPr>
                <w:b/>
              </w:rPr>
            </w:pPr>
          </w:p>
        </w:tc>
      </w:tr>
      <w:tr w:rsidR="00F35F45" w14:paraId="3491BDCD" w14:textId="77777777" w:rsidTr="00345119">
        <w:tc>
          <w:tcPr>
            <w:tcW w:w="9576" w:type="dxa"/>
          </w:tcPr>
          <w:p w14:paraId="6FFAE867" w14:textId="77777777" w:rsidR="008423E4" w:rsidRPr="00A8133F" w:rsidRDefault="004A3943" w:rsidP="002970A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7B29A2D" w14:textId="77777777" w:rsidR="008423E4" w:rsidRDefault="008423E4" w:rsidP="002970AA"/>
          <w:p w14:paraId="69D17368" w14:textId="12656DBC" w:rsidR="008423E4" w:rsidRPr="003624F2" w:rsidRDefault="004A3943" w:rsidP="002970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3454C6D" w14:textId="77777777" w:rsidR="008423E4" w:rsidRPr="00233FDB" w:rsidRDefault="008423E4" w:rsidP="002970AA">
            <w:pPr>
              <w:rPr>
                <w:b/>
              </w:rPr>
            </w:pPr>
          </w:p>
        </w:tc>
      </w:tr>
    </w:tbl>
    <w:p w14:paraId="562B30E5" w14:textId="77777777" w:rsidR="008423E4" w:rsidRPr="00BE0E75" w:rsidRDefault="008423E4" w:rsidP="002970AA">
      <w:pPr>
        <w:jc w:val="both"/>
        <w:rPr>
          <w:rFonts w:ascii="Arial" w:hAnsi="Arial"/>
          <w:sz w:val="16"/>
          <w:szCs w:val="16"/>
        </w:rPr>
      </w:pPr>
    </w:p>
    <w:p w14:paraId="51FFAFB6" w14:textId="77777777" w:rsidR="004108C3" w:rsidRPr="008423E4" w:rsidRDefault="004108C3" w:rsidP="002970A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CD7C" w14:textId="77777777" w:rsidR="00000000" w:rsidRDefault="004A3943">
      <w:r>
        <w:separator/>
      </w:r>
    </w:p>
  </w:endnote>
  <w:endnote w:type="continuationSeparator" w:id="0">
    <w:p w14:paraId="305F6CE6" w14:textId="77777777" w:rsidR="00000000" w:rsidRDefault="004A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437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35F45" w14:paraId="02A092B5" w14:textId="77777777" w:rsidTr="009C1E9A">
      <w:trPr>
        <w:cantSplit/>
      </w:trPr>
      <w:tc>
        <w:tcPr>
          <w:tcW w:w="0" w:type="pct"/>
        </w:tcPr>
        <w:p w14:paraId="6F2728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42E9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08465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7FFE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5749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5F45" w14:paraId="1C6DB9A1" w14:textId="77777777" w:rsidTr="009C1E9A">
      <w:trPr>
        <w:cantSplit/>
      </w:trPr>
      <w:tc>
        <w:tcPr>
          <w:tcW w:w="0" w:type="pct"/>
        </w:tcPr>
        <w:p w14:paraId="6528E7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42E084" w14:textId="0D16BC22" w:rsidR="00EC379B" w:rsidRPr="009C1E9A" w:rsidRDefault="004A394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30588-D</w:t>
          </w:r>
        </w:p>
      </w:tc>
      <w:tc>
        <w:tcPr>
          <w:tcW w:w="2453" w:type="pct"/>
        </w:tcPr>
        <w:p w14:paraId="39AC2755" w14:textId="6A8E745D" w:rsidR="00EC379B" w:rsidRDefault="004A39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D5DBC">
            <w:t>23.136.281</w:t>
          </w:r>
          <w:r>
            <w:fldChar w:fldCharType="end"/>
          </w:r>
        </w:p>
      </w:tc>
    </w:tr>
    <w:tr w:rsidR="00F35F45" w14:paraId="21273274" w14:textId="77777777" w:rsidTr="009C1E9A">
      <w:trPr>
        <w:cantSplit/>
      </w:trPr>
      <w:tc>
        <w:tcPr>
          <w:tcW w:w="0" w:type="pct"/>
        </w:tcPr>
        <w:p w14:paraId="38770F7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99D22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A1FEE4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05A2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5F45" w14:paraId="444BE6F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C76288" w14:textId="77777777" w:rsidR="00EC379B" w:rsidRDefault="004A394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1BE5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E8E82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ED8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AFF3" w14:textId="77777777" w:rsidR="00000000" w:rsidRDefault="004A3943">
      <w:r>
        <w:separator/>
      </w:r>
    </w:p>
  </w:footnote>
  <w:footnote w:type="continuationSeparator" w:id="0">
    <w:p w14:paraId="0703A81D" w14:textId="77777777" w:rsidR="00000000" w:rsidRDefault="004A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28E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640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ACA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3819"/>
    <w:multiLevelType w:val="hybridMultilevel"/>
    <w:tmpl w:val="B4DAB5DE"/>
    <w:lvl w:ilvl="0" w:tplc="55364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2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29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A6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81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C1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E4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A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8F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7FE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B26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6F2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6CB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0AA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1A6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146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675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94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3E9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DBC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2D1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00A"/>
    <w:rsid w:val="007966D4"/>
    <w:rsid w:val="00796A0A"/>
    <w:rsid w:val="0079792C"/>
    <w:rsid w:val="007A0989"/>
    <w:rsid w:val="007A331F"/>
    <w:rsid w:val="007A3844"/>
    <w:rsid w:val="007A4381"/>
    <w:rsid w:val="007A5466"/>
    <w:rsid w:val="007A716F"/>
    <w:rsid w:val="007A7EC1"/>
    <w:rsid w:val="007B4FCA"/>
    <w:rsid w:val="007B7B85"/>
    <w:rsid w:val="007C462E"/>
    <w:rsid w:val="007C496B"/>
    <w:rsid w:val="007C6803"/>
    <w:rsid w:val="007D1837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C1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6C9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8DA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CDC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959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D21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8CB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7CA"/>
    <w:rsid w:val="00B43672"/>
    <w:rsid w:val="00B473D8"/>
    <w:rsid w:val="00B5165A"/>
    <w:rsid w:val="00B524C1"/>
    <w:rsid w:val="00B52C8D"/>
    <w:rsid w:val="00B564BF"/>
    <w:rsid w:val="00B6104E"/>
    <w:rsid w:val="00B610C7"/>
    <w:rsid w:val="00B61248"/>
    <w:rsid w:val="00B62106"/>
    <w:rsid w:val="00B626A8"/>
    <w:rsid w:val="00B65695"/>
    <w:rsid w:val="00B66526"/>
    <w:rsid w:val="00B665A3"/>
    <w:rsid w:val="00B71B76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800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966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CF9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341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88A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6DC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F45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6CA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BDE"/>
    <w:rsid w:val="00FB73AE"/>
    <w:rsid w:val="00FB7A2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85A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E864B4-FFC1-4696-95D3-BEFF9020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468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68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6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88A"/>
    <w:rPr>
      <w:b/>
      <w:bCs/>
    </w:rPr>
  </w:style>
  <w:style w:type="paragraph" w:styleId="Revision">
    <w:name w:val="Revision"/>
    <w:hidden/>
    <w:uiPriority w:val="99"/>
    <w:semiHidden/>
    <w:rsid w:val="00A6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3178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SB00186 (Committee Report (Unamended))</vt:lpstr>
    </vt:vector>
  </TitlesOfParts>
  <Company>State of Texas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30588</dc:subject>
  <dc:creator>State of Texas</dc:creator>
  <dc:description>SB 186 by Miles-(H)Human Services</dc:description>
  <cp:lastModifiedBy>Damian Duarte</cp:lastModifiedBy>
  <cp:revision>2</cp:revision>
  <cp:lastPrinted>2003-11-26T17:21:00Z</cp:lastPrinted>
  <dcterms:created xsi:type="dcterms:W3CDTF">2023-05-17T17:07:00Z</dcterms:created>
  <dcterms:modified xsi:type="dcterms:W3CDTF">2023-05-17T17:07:00Z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23.136.281</vt:lpwstr>
  </property>
</Properties>
</file>