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7EE7" w14:paraId="224B5427" w14:textId="77777777" w:rsidTr="00345119">
        <w:tc>
          <w:tcPr>
            <w:tcW w:w="9576" w:type="dxa"/>
            <w:noWrap/>
          </w:tcPr>
          <w:p w14:paraId="2D293E64" w14:textId="77777777" w:rsidR="008423E4" w:rsidRPr="0022177D" w:rsidRDefault="005F363B" w:rsidP="00970173">
            <w:pPr>
              <w:pStyle w:val="Heading1"/>
            </w:pPr>
            <w:r w:rsidRPr="00631897">
              <w:t>BILL ANALYSIS</w:t>
            </w:r>
          </w:p>
        </w:tc>
      </w:tr>
    </w:tbl>
    <w:p w14:paraId="3EE81D22" w14:textId="77777777" w:rsidR="008423E4" w:rsidRPr="0022177D" w:rsidRDefault="008423E4" w:rsidP="00970173">
      <w:pPr>
        <w:jc w:val="center"/>
      </w:pPr>
    </w:p>
    <w:p w14:paraId="69B26755" w14:textId="77777777" w:rsidR="008423E4" w:rsidRPr="00B31F0E" w:rsidRDefault="008423E4" w:rsidP="00970173"/>
    <w:p w14:paraId="7C331ABE" w14:textId="77777777" w:rsidR="008423E4" w:rsidRPr="00742794" w:rsidRDefault="008423E4" w:rsidP="009701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7EE7" w14:paraId="424BE5D3" w14:textId="77777777" w:rsidTr="00345119">
        <w:tc>
          <w:tcPr>
            <w:tcW w:w="9576" w:type="dxa"/>
          </w:tcPr>
          <w:p w14:paraId="4F95D652" w14:textId="462FF4FD" w:rsidR="008423E4" w:rsidRPr="00861995" w:rsidRDefault="005F363B" w:rsidP="00970173">
            <w:pPr>
              <w:jc w:val="right"/>
            </w:pPr>
            <w:r>
              <w:t>S.B. 221</w:t>
            </w:r>
          </w:p>
        </w:tc>
      </w:tr>
      <w:tr w:rsidR="00487EE7" w14:paraId="0482BB2A" w14:textId="77777777" w:rsidTr="00345119">
        <w:tc>
          <w:tcPr>
            <w:tcW w:w="9576" w:type="dxa"/>
          </w:tcPr>
          <w:p w14:paraId="74BCA7EA" w14:textId="6289FE7A" w:rsidR="008423E4" w:rsidRPr="00861995" w:rsidRDefault="005F363B" w:rsidP="00970173">
            <w:pPr>
              <w:jc w:val="right"/>
            </w:pPr>
            <w:r>
              <w:t xml:space="preserve">By: </w:t>
            </w:r>
            <w:r w:rsidR="00216326">
              <w:t>Bettencourt</w:t>
            </w:r>
          </w:p>
        </w:tc>
      </w:tr>
      <w:tr w:rsidR="00487EE7" w14:paraId="57E146AC" w14:textId="77777777" w:rsidTr="00345119">
        <w:tc>
          <w:tcPr>
            <w:tcW w:w="9576" w:type="dxa"/>
          </w:tcPr>
          <w:p w14:paraId="2652F72D" w14:textId="1B78FA49" w:rsidR="008423E4" w:rsidRPr="00861995" w:rsidRDefault="005F363B" w:rsidP="00970173">
            <w:pPr>
              <w:jc w:val="right"/>
            </w:pPr>
            <w:r>
              <w:t>Elections</w:t>
            </w:r>
          </w:p>
        </w:tc>
      </w:tr>
      <w:tr w:rsidR="00487EE7" w14:paraId="410A39D2" w14:textId="77777777" w:rsidTr="00345119">
        <w:tc>
          <w:tcPr>
            <w:tcW w:w="9576" w:type="dxa"/>
          </w:tcPr>
          <w:p w14:paraId="78611FB4" w14:textId="0CA6AA06" w:rsidR="008423E4" w:rsidRDefault="005F363B" w:rsidP="00970173">
            <w:pPr>
              <w:jc w:val="right"/>
            </w:pPr>
            <w:r>
              <w:t>Committee Report (Unamended)</w:t>
            </w:r>
          </w:p>
        </w:tc>
      </w:tr>
    </w:tbl>
    <w:p w14:paraId="405909D3" w14:textId="77777777" w:rsidR="008423E4" w:rsidRDefault="008423E4" w:rsidP="00970173">
      <w:pPr>
        <w:tabs>
          <w:tab w:val="right" w:pos="9360"/>
        </w:tabs>
      </w:pPr>
    </w:p>
    <w:p w14:paraId="32DACA01" w14:textId="77777777" w:rsidR="008423E4" w:rsidRDefault="008423E4" w:rsidP="00970173"/>
    <w:p w14:paraId="0E8466DA" w14:textId="77777777" w:rsidR="008423E4" w:rsidRDefault="008423E4" w:rsidP="009701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7EE7" w14:paraId="022B0317" w14:textId="77777777" w:rsidTr="00345119">
        <w:tc>
          <w:tcPr>
            <w:tcW w:w="9576" w:type="dxa"/>
          </w:tcPr>
          <w:p w14:paraId="086A6E8C" w14:textId="77777777" w:rsidR="008423E4" w:rsidRPr="00A8133F" w:rsidRDefault="005F363B" w:rsidP="009701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680E9A" w14:textId="1BA277D5" w:rsidR="000A72EF" w:rsidRDefault="005F363B" w:rsidP="00970173">
            <w:pPr>
              <w:pStyle w:val="CommentText"/>
            </w:pPr>
            <w:r>
              <w:rPr>
                <w:rStyle w:val="CommentReference"/>
              </w:rPr>
              <w:t/>
            </w:r>
          </w:p>
          <w:p w14:paraId="38D33330" w14:textId="42DBE552" w:rsidR="008423E4" w:rsidRDefault="005F363B" w:rsidP="00970173">
            <w:pPr>
              <w:pStyle w:val="Header"/>
              <w:jc w:val="both"/>
            </w:pPr>
            <w:r>
              <w:t>Home-rule municipalities in Texas have fairly broad discretion</w:t>
            </w:r>
            <w:r w:rsidR="000871E7">
              <w:t xml:space="preserve"> under current law</w:t>
            </w:r>
            <w:r w:rsidR="00C32180">
              <w:t xml:space="preserve"> </w:t>
            </w:r>
            <w:r>
              <w:t xml:space="preserve">to place initiatives before voters for consideration; however, </w:t>
            </w:r>
            <w:r w:rsidR="00421F7F">
              <w:t>because local elections are governed by each municipality's charter</w:t>
            </w:r>
            <w:r w:rsidR="00564B41">
              <w:t>,</w:t>
            </w:r>
            <w:r w:rsidR="00421F7F">
              <w:t xml:space="preserve"> </w:t>
            </w:r>
            <w:r>
              <w:t xml:space="preserve">there is little uniformity </w:t>
            </w:r>
            <w:r w:rsidR="00ED4F90">
              <w:t xml:space="preserve">in </w:t>
            </w:r>
            <w:r w:rsidR="00564B41">
              <w:t xml:space="preserve">how those elections are carried out. </w:t>
            </w:r>
            <w:r>
              <w:t>The</w:t>
            </w:r>
            <w:r w:rsidR="00C32180">
              <w:t xml:space="preserve"> </w:t>
            </w:r>
            <w:r>
              <w:t>Supreme Court of Texas was tasked, as the</w:t>
            </w:r>
            <w:r w:rsidR="00C32180">
              <w:t xml:space="preserve"> </w:t>
            </w:r>
            <w:r>
              <w:t>result of c</w:t>
            </w:r>
            <w:r>
              <w:t>itizen-led mandamus and recall petitions,</w:t>
            </w:r>
            <w:r w:rsidR="00C32180">
              <w:t xml:space="preserve"> </w:t>
            </w:r>
            <w:r>
              <w:t>with reviewing the actions of local</w:t>
            </w:r>
            <w:r w:rsidR="00C32180">
              <w:t xml:space="preserve"> </w:t>
            </w:r>
            <w:r>
              <w:t xml:space="preserve">governments and the ballot language used </w:t>
            </w:r>
            <w:r w:rsidR="00564B41">
              <w:t xml:space="preserve">by </w:t>
            </w:r>
            <w:r>
              <w:t>initiatives</w:t>
            </w:r>
            <w:r w:rsidR="00C32180">
              <w:t xml:space="preserve"> </w:t>
            </w:r>
            <w:r w:rsidR="00564B41">
              <w:t xml:space="preserve">that </w:t>
            </w:r>
            <w:r>
              <w:t>were put forth</w:t>
            </w:r>
            <w:r w:rsidR="00564B41">
              <w:t xml:space="preserve"> for voter approval</w:t>
            </w:r>
            <w:r>
              <w:t>. The court ultimately</w:t>
            </w:r>
            <w:r w:rsidR="00C32180">
              <w:t xml:space="preserve"> </w:t>
            </w:r>
            <w:r>
              <w:t>found that ballot language</w:t>
            </w:r>
            <w:r w:rsidR="00C32180">
              <w:t xml:space="preserve"> </w:t>
            </w:r>
            <w:r w:rsidR="00564B41">
              <w:t xml:space="preserve">to be misleading to voters </w:t>
            </w:r>
            <w:r>
              <w:t>and req</w:t>
            </w:r>
            <w:r>
              <w:t xml:space="preserve">uired </w:t>
            </w:r>
            <w:r w:rsidR="00564B41">
              <w:t xml:space="preserve">it to be resubmitted </w:t>
            </w:r>
            <w:r>
              <w:t>to voters, resulting in additional costs to taxpayers.</w:t>
            </w:r>
            <w:r w:rsidR="000871E7">
              <w:t xml:space="preserve"> S.B. 221 seeks to address </w:t>
            </w:r>
            <w:r w:rsidR="00E402C8">
              <w:t>this issue</w:t>
            </w:r>
            <w:r w:rsidR="000871E7">
              <w:t xml:space="preserve"> by </w:t>
            </w:r>
            <w:r w:rsidR="00E402C8">
              <w:t>establishing</w:t>
            </w:r>
            <w:r w:rsidR="000871E7">
              <w:t xml:space="preserve"> requirements for ballot proposition</w:t>
            </w:r>
            <w:r w:rsidR="00E402C8">
              <w:t xml:space="preserve"> language and certain petitions requesting an election</w:t>
            </w:r>
            <w:r w:rsidR="000871E7">
              <w:t>.</w:t>
            </w:r>
            <w:r>
              <w:t xml:space="preserve"> </w:t>
            </w:r>
            <w:r w:rsidR="005C710F">
              <w:t>The bill further provides, with respect to the prohibition in current law on a corporation or labor organization making a political contribution in connection with a recall election, including the circulation and submission of a petition to call an election, that this prohibition does not prohibit a religious organization from circulating or submitting a petition in connection with a recall election.</w:t>
            </w:r>
          </w:p>
          <w:p w14:paraId="195F902E" w14:textId="77777777" w:rsidR="008423E4" w:rsidRPr="00E26B13" w:rsidRDefault="008423E4" w:rsidP="00970173">
            <w:pPr>
              <w:rPr>
                <w:b/>
              </w:rPr>
            </w:pPr>
          </w:p>
        </w:tc>
      </w:tr>
      <w:tr w:rsidR="00487EE7" w14:paraId="2810F94A" w14:textId="77777777" w:rsidTr="00345119">
        <w:tc>
          <w:tcPr>
            <w:tcW w:w="9576" w:type="dxa"/>
          </w:tcPr>
          <w:p w14:paraId="47223CAE" w14:textId="77777777" w:rsidR="0017725B" w:rsidRDefault="005F363B" w:rsidP="009701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7EC951" w14:textId="77777777" w:rsidR="0017725B" w:rsidRDefault="0017725B" w:rsidP="00970173">
            <w:pPr>
              <w:rPr>
                <w:b/>
                <w:u w:val="single"/>
              </w:rPr>
            </w:pPr>
          </w:p>
          <w:p w14:paraId="00118918" w14:textId="3BC51ADC" w:rsidR="008B5F3B" w:rsidRPr="008B5F3B" w:rsidRDefault="005F363B" w:rsidP="00970173">
            <w:pPr>
              <w:jc w:val="both"/>
            </w:pPr>
            <w:r>
              <w:t>It is the committee's opinion that this bill does not expressly create a criminal</w:t>
            </w:r>
            <w:r>
              <w:t xml:space="preserve"> offense, increase the punishment for an existing criminal offense or category of offenses, or change the eligibility of a person for community supervision, parole, or mandatory supervision.</w:t>
            </w:r>
          </w:p>
          <w:p w14:paraId="15C7ABA8" w14:textId="77777777" w:rsidR="0017725B" w:rsidRPr="0017725B" w:rsidRDefault="0017725B" w:rsidP="00970173">
            <w:pPr>
              <w:rPr>
                <w:b/>
                <w:u w:val="single"/>
              </w:rPr>
            </w:pPr>
          </w:p>
        </w:tc>
      </w:tr>
      <w:tr w:rsidR="00487EE7" w14:paraId="23F04720" w14:textId="77777777" w:rsidTr="00345119">
        <w:tc>
          <w:tcPr>
            <w:tcW w:w="9576" w:type="dxa"/>
          </w:tcPr>
          <w:p w14:paraId="2E385AA2" w14:textId="77777777" w:rsidR="008423E4" w:rsidRPr="00A8133F" w:rsidRDefault="005F363B" w:rsidP="009701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F9CF05" w14:textId="77777777" w:rsidR="008423E4" w:rsidRDefault="008423E4" w:rsidP="00970173"/>
          <w:p w14:paraId="67E49F58" w14:textId="48C1F2CC" w:rsidR="008B5F3B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681C6234" w14:textId="77777777" w:rsidR="008423E4" w:rsidRPr="00E21FDC" w:rsidRDefault="008423E4" w:rsidP="00970173">
            <w:pPr>
              <w:rPr>
                <w:b/>
              </w:rPr>
            </w:pPr>
          </w:p>
        </w:tc>
      </w:tr>
      <w:tr w:rsidR="00487EE7" w14:paraId="5BAEA1A5" w14:textId="77777777" w:rsidTr="00345119">
        <w:tc>
          <w:tcPr>
            <w:tcW w:w="9576" w:type="dxa"/>
          </w:tcPr>
          <w:p w14:paraId="53E54F1F" w14:textId="77777777" w:rsidR="008423E4" w:rsidRPr="00A8133F" w:rsidRDefault="005F363B" w:rsidP="009701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193074" w14:textId="77777777" w:rsidR="008423E4" w:rsidRDefault="008423E4" w:rsidP="00970173"/>
          <w:p w14:paraId="45AA71C3" w14:textId="08F94472" w:rsidR="00E937AB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221 amends the Election Code to </w:t>
            </w:r>
            <w:r w:rsidR="00ED10E0">
              <w:t xml:space="preserve">revise requirements relating to ballot propositions and petitions. The bill </w:t>
            </w:r>
            <w:r>
              <w:t>require</w:t>
            </w:r>
            <w:r w:rsidR="00ED10E0">
              <w:t>s</w:t>
            </w:r>
            <w:r>
              <w:t xml:space="preserve"> a ballot proposition to </w:t>
            </w:r>
            <w:r w:rsidRPr="00E937AB">
              <w:t>substantially submit the question with such definiteness, certainty, and facial neutrality that the voters are not misled.</w:t>
            </w:r>
          </w:p>
          <w:p w14:paraId="4716AE00" w14:textId="77777777" w:rsidR="00E937AB" w:rsidRDefault="00E937A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A4AAE2" w14:textId="5DC39218" w:rsidR="00706783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221 </w:t>
            </w:r>
            <w:r w:rsidR="004A4B86">
              <w:t xml:space="preserve">provides for the secretary of state to review </w:t>
            </w:r>
            <w:r w:rsidR="0008231F">
              <w:t xml:space="preserve">a </w:t>
            </w:r>
            <w:r w:rsidR="004A4B86">
              <w:t xml:space="preserve">ballot proposition </w:t>
            </w:r>
            <w:r w:rsidR="004A4B86" w:rsidRPr="004A4B86">
              <w:t>to determine whether the proposition is misleading, inaccurate, or prejudicial</w:t>
            </w:r>
            <w:r>
              <w:t xml:space="preserve"> as follows:</w:t>
            </w:r>
          </w:p>
          <w:p w14:paraId="3CA872FD" w14:textId="7685781E" w:rsidR="00706783" w:rsidRDefault="005F363B" w:rsidP="0097017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F15BE2">
              <w:t>authorize</w:t>
            </w:r>
            <w:r w:rsidR="00E937AB">
              <w:t>s</w:t>
            </w:r>
            <w:r w:rsidRPr="00F15BE2">
              <w:t xml:space="preserve"> a</w:t>
            </w:r>
            <w:r>
              <w:t xml:space="preserve"> </w:t>
            </w:r>
            <w:r w:rsidRPr="00F15BE2">
              <w:t xml:space="preserve">registered </w:t>
            </w:r>
            <w:r w:rsidR="004A4B86">
              <w:t xml:space="preserve">eligible </w:t>
            </w:r>
            <w:r w:rsidRPr="00F15BE2">
              <w:t xml:space="preserve">voter </w:t>
            </w:r>
            <w:r>
              <w:t xml:space="preserve">to submit </w:t>
            </w:r>
            <w:r w:rsidRPr="00F15BE2">
              <w:t xml:space="preserve">for </w:t>
            </w:r>
            <w:r>
              <w:t xml:space="preserve">such </w:t>
            </w:r>
            <w:r w:rsidRPr="00F15BE2">
              <w:t xml:space="preserve">review </w:t>
            </w:r>
            <w:r w:rsidR="0008231F">
              <w:t xml:space="preserve">a </w:t>
            </w:r>
            <w:r w:rsidR="003E7837" w:rsidRPr="00F15BE2">
              <w:t xml:space="preserve">ballot proposition proposing an amendment to the city charter </w:t>
            </w:r>
            <w:r w:rsidR="003E7837">
              <w:t xml:space="preserve">of a home-rule city </w:t>
            </w:r>
            <w:r w:rsidR="003E7837" w:rsidRPr="00F15BE2">
              <w:t>or a voter</w:t>
            </w:r>
            <w:r w:rsidR="0044236E">
              <w:noBreakHyphen/>
            </w:r>
            <w:r w:rsidR="003E7837" w:rsidRPr="00F15BE2">
              <w:t>initiated initiative or referendum as requested by petition</w:t>
            </w:r>
            <w:r>
              <w:t>;</w:t>
            </w:r>
            <w:r w:rsidR="003E7837">
              <w:t xml:space="preserve"> </w:t>
            </w:r>
          </w:p>
          <w:p w14:paraId="378FEB03" w14:textId="6157D3D9" w:rsidR="00680AE9" w:rsidRDefault="005F363B" w:rsidP="0097017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establishes the deadline for submission as </w:t>
            </w:r>
            <w:r w:rsidR="00F15BE2">
              <w:t>n</w:t>
            </w:r>
            <w:r w:rsidR="00F15BE2" w:rsidRPr="00F15BE2">
              <w:t xml:space="preserve">ot later than the seventh day after the date on which </w:t>
            </w:r>
            <w:r w:rsidR="003E7837">
              <w:t>the</w:t>
            </w:r>
            <w:r w:rsidR="00F15BE2" w:rsidRPr="00F15BE2">
              <w:t xml:space="preserve"> home-rule city publishes </w:t>
            </w:r>
            <w:r w:rsidR="003E7837">
              <w:t xml:space="preserve">the ballot proposition language </w:t>
            </w:r>
            <w:r w:rsidR="00F15BE2" w:rsidRPr="00F15BE2">
              <w:t>in the election order or by other means</w:t>
            </w:r>
            <w:r w:rsidR="00155174">
              <w:t>;</w:t>
            </w:r>
          </w:p>
          <w:p w14:paraId="2DB918F4" w14:textId="58B8FBB2" w:rsidR="00155174" w:rsidRDefault="005F363B" w:rsidP="0097017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secretary of state </w:t>
            </w:r>
            <w:r w:rsidR="00680AE9">
              <w:t xml:space="preserve">to </w:t>
            </w:r>
            <w:r w:rsidR="00680AE9" w:rsidRPr="00680AE9">
              <w:t>review the proposition not later than the seventh day after the date the secretary receives the submission to determine whether the proposition is misleading, inaccurate, or prejudicial</w:t>
            </w:r>
            <w:r>
              <w:t>; and</w:t>
            </w:r>
            <w:r w:rsidR="00680AE9">
              <w:t xml:space="preserve"> </w:t>
            </w:r>
          </w:p>
          <w:p w14:paraId="09A32C58" w14:textId="1AA14C1C" w:rsidR="00934ABA" w:rsidRDefault="005F363B" w:rsidP="0097017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F45276" w:rsidRPr="00680AE9">
              <w:t>f the secretary determines that the proposition is misleading, inaccurate, or prejudicial</w:t>
            </w:r>
            <w:r>
              <w:t>:</w:t>
            </w:r>
          </w:p>
          <w:p w14:paraId="0F0F5DD3" w14:textId="4BEBAD19" w:rsidR="00934ABA" w:rsidRDefault="005F363B" w:rsidP="00970173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</w:t>
            </w:r>
            <w:r w:rsidR="00680AE9">
              <w:t xml:space="preserve">city </w:t>
            </w:r>
            <w:r>
              <w:t>to</w:t>
            </w:r>
            <w:r w:rsidR="00F45276">
              <w:t xml:space="preserve"> </w:t>
            </w:r>
            <w:r w:rsidR="00680AE9" w:rsidRPr="00680AE9">
              <w:t xml:space="preserve">draft a proposition to cure the defects and give notice of the new proposition using the method </w:t>
            </w:r>
            <w:r w:rsidR="00F45276">
              <w:t>for</w:t>
            </w:r>
            <w:r w:rsidR="00F45276" w:rsidRPr="00680AE9">
              <w:t xml:space="preserve"> </w:t>
            </w:r>
            <w:r w:rsidR="00680AE9" w:rsidRPr="00680AE9">
              <w:t>giving notice of an election</w:t>
            </w:r>
            <w:r>
              <w:t>;</w:t>
            </w:r>
          </w:p>
          <w:p w14:paraId="6E51805D" w14:textId="62CEFAFD" w:rsidR="00E937AB" w:rsidRDefault="005F363B" w:rsidP="00970173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</w:t>
            </w:r>
            <w:r w:rsidR="00680AE9">
              <w:t xml:space="preserve"> the city to submit </w:t>
            </w:r>
            <w:r w:rsidR="00934ABA">
              <w:t>t</w:t>
            </w:r>
            <w:r>
              <w:t xml:space="preserve">hat draft </w:t>
            </w:r>
            <w:r w:rsidR="00680AE9" w:rsidRPr="00680AE9">
              <w:t>to the secretary of state</w:t>
            </w:r>
            <w:r w:rsidR="00680AE9">
              <w:t xml:space="preserve"> </w:t>
            </w:r>
            <w:r>
              <w:t>for review;</w:t>
            </w:r>
            <w:r w:rsidR="00680AE9">
              <w:t xml:space="preserve"> </w:t>
            </w:r>
            <w:r>
              <w:t>and</w:t>
            </w:r>
          </w:p>
          <w:p w14:paraId="103AF996" w14:textId="063BB8E3" w:rsidR="00E937AB" w:rsidRDefault="005F363B" w:rsidP="00970173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Pr="00680AE9">
              <w:t xml:space="preserve">the secretary </w:t>
            </w:r>
            <w:r>
              <w:t>to</w:t>
            </w:r>
            <w:r w:rsidRPr="00680AE9">
              <w:t xml:space="preserve"> draft the ballot proposition</w:t>
            </w:r>
            <w:r>
              <w:t xml:space="preserve"> </w:t>
            </w:r>
            <w:r w:rsidR="00680AE9">
              <w:t xml:space="preserve">if the </w:t>
            </w:r>
            <w:r w:rsidR="00680AE9" w:rsidRPr="00680AE9">
              <w:t>secretary determines that the city has on its third attempt drafted a proposition that is misleading, inaccurate, or prejudicial</w:t>
            </w:r>
            <w:r>
              <w:t>.</w:t>
            </w:r>
            <w:r w:rsidR="00680AE9">
              <w:t xml:space="preserve"> </w:t>
            </w:r>
          </w:p>
          <w:p w14:paraId="13FC7DCF" w14:textId="4BC7E639" w:rsidR="00F15BE2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</w:t>
            </w:r>
            <w:r w:rsidR="00E937AB">
              <w:t xml:space="preserve">ballot </w:t>
            </w:r>
            <w:r w:rsidR="00955F52">
              <w:t xml:space="preserve">proposition </w:t>
            </w:r>
            <w:r w:rsidR="008A76FE">
              <w:t xml:space="preserve">to be reviewed by the secretary of state </w:t>
            </w:r>
            <w:r w:rsidR="00955F52" w:rsidRPr="00955F52">
              <w:t>within seven days after receiving the proposition for review</w:t>
            </w:r>
            <w:r w:rsidR="00955F52">
              <w:t xml:space="preserve">. </w:t>
            </w:r>
            <w:r w:rsidR="00C60DFB">
              <w:t xml:space="preserve">Following </w:t>
            </w:r>
            <w:r w:rsidR="00C60DFB" w:rsidRPr="008A1F0F">
              <w:t>a final nonappealable judgment containing a finding by a court that a ballot proposition drafted by a city failed to</w:t>
            </w:r>
            <w:r w:rsidR="00C60DFB">
              <w:t xml:space="preserve"> comply with the language requirement, the bill requires the city to </w:t>
            </w:r>
            <w:r w:rsidR="00C60DFB" w:rsidRPr="008A1F0F">
              <w:t>submit to the secretary of state for approval any proposition to be voted on at an election held by the city before the fourth anniversary of the court's finding</w:t>
            </w:r>
            <w:r w:rsidR="00C60DFB">
              <w:t>.</w:t>
            </w:r>
          </w:p>
          <w:p w14:paraId="36F9A4BB" w14:textId="5DC7E594" w:rsidR="00680AE9" w:rsidRDefault="00680AE9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BE3173" w14:textId="6EF73E1A" w:rsidR="00C2118B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357ED">
              <w:t xml:space="preserve">S.B. 221 authorizes a person to seek a writ of mandamus </w:t>
            </w:r>
            <w:r w:rsidR="00EE5888">
              <w:t xml:space="preserve">from a court </w:t>
            </w:r>
            <w:r w:rsidRPr="00D357ED">
              <w:t xml:space="preserve">to compel the </w:t>
            </w:r>
            <w:r w:rsidRPr="00D357ED">
              <w:t>governing body of a city to comply with the</w:t>
            </w:r>
            <w:r w:rsidR="00EE5888" w:rsidRPr="00D357ED">
              <w:t xml:space="preserve"> ballot proposition</w:t>
            </w:r>
            <w:r w:rsidR="00EE5888">
              <w:t xml:space="preserve"> language</w:t>
            </w:r>
            <w:r w:rsidRPr="00D357ED">
              <w:t xml:space="preserve"> requirement </w:t>
            </w:r>
            <w:r w:rsidR="00EE5888">
              <w:t xml:space="preserve">if the court orders the authority that ordered a contested election to order a new election </w:t>
            </w:r>
            <w:r w:rsidR="006D4487">
              <w:t>requested by petition</w:t>
            </w:r>
            <w:r w:rsidRPr="00D357ED">
              <w:t xml:space="preserve">. </w:t>
            </w:r>
            <w:r>
              <w:t xml:space="preserve">With respect to such </w:t>
            </w:r>
            <w:r w:rsidR="006D4487">
              <w:t>a mandamus</w:t>
            </w:r>
            <w:r>
              <w:t xml:space="preserve"> action, t</w:t>
            </w:r>
            <w:r w:rsidRPr="00D357ED">
              <w:t xml:space="preserve">he bill </w:t>
            </w:r>
            <w:r>
              <w:t>does the</w:t>
            </w:r>
            <w:r>
              <w:t xml:space="preserve"> following:</w:t>
            </w:r>
          </w:p>
          <w:p w14:paraId="40D76C93" w14:textId="77777777" w:rsidR="00C2118B" w:rsidRDefault="005F363B" w:rsidP="0097017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D357ED">
              <w:t>requires the court to make its determination without delay</w:t>
            </w:r>
            <w:r>
              <w:t>;</w:t>
            </w:r>
          </w:p>
          <w:p w14:paraId="5B5A0A82" w14:textId="5A9D2E89" w:rsidR="00C2118B" w:rsidRDefault="005F363B" w:rsidP="0097017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the court to</w:t>
            </w:r>
            <w:r w:rsidR="00D357ED" w:rsidRPr="00D357ED">
              <w:t xml:space="preserve"> order the city to use ballot proposition language drafted by the court</w:t>
            </w:r>
            <w:r>
              <w:t>;</w:t>
            </w:r>
          </w:p>
          <w:p w14:paraId="36DD24EA" w14:textId="29BE7B4B" w:rsidR="00A24005" w:rsidRDefault="005F363B" w:rsidP="0097017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D357ED">
              <w:t xml:space="preserve">authorizes the court to award the plaintiff or relator who substantially prevails in </w:t>
            </w:r>
            <w:r w:rsidR="00C2118B">
              <w:t>the</w:t>
            </w:r>
            <w:r w:rsidRPr="00D357ED">
              <w:t xml:space="preserve"> mandamus action the party's reasonable attorney's fees, expenses, and court</w:t>
            </w:r>
            <w:r>
              <w:t xml:space="preserve"> </w:t>
            </w:r>
            <w:r w:rsidRPr="00D357ED">
              <w:t>costs</w:t>
            </w:r>
            <w:r>
              <w:t>; and</w:t>
            </w:r>
          </w:p>
          <w:p w14:paraId="58BF3827" w14:textId="4ED7F159" w:rsidR="00D357ED" w:rsidRDefault="005F363B" w:rsidP="0097017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D357ED">
              <w:t xml:space="preserve">establishes </w:t>
            </w:r>
            <w:r w:rsidR="0044236E">
              <w:t xml:space="preserve">that </w:t>
            </w:r>
            <w:r w:rsidRPr="00D357ED">
              <w:t xml:space="preserve">governmental immunity to suit is waived and abolished only to the extent of the liability </w:t>
            </w:r>
            <w:r w:rsidR="00A24005">
              <w:t>to the prevailing party</w:t>
            </w:r>
            <w:r w:rsidR="006D4487">
              <w:t xml:space="preserve"> created by such an award by the court</w:t>
            </w:r>
            <w:r w:rsidRPr="00D357ED">
              <w:t>.</w:t>
            </w:r>
          </w:p>
          <w:p w14:paraId="4EC36B7E" w14:textId="2552A953" w:rsidR="008B5F3B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a city from accepting legal services relating to a </w:t>
            </w:r>
            <w:r w:rsidR="00AA08DE">
              <w:t xml:space="preserve">ballot proposition </w:t>
            </w:r>
            <w:r>
              <w:t xml:space="preserve">proceeding without paying fair market value for those services, notwithstanding </w:t>
            </w:r>
            <w:r w:rsidRPr="008A1F0F">
              <w:t>a home-rule city charter provision to the contrary</w:t>
            </w:r>
            <w:r>
              <w:t xml:space="preserve">. </w:t>
            </w:r>
          </w:p>
          <w:p w14:paraId="6CE47591" w14:textId="2A4A5FAE" w:rsidR="008B5F3B" w:rsidRDefault="008B5F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4552FB" w14:textId="22F0A29F" w:rsidR="00812622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12622">
              <w:t>S.B. 221</w:t>
            </w:r>
            <w:r w:rsidR="00B201BF">
              <w:t xml:space="preserve"> establishes </w:t>
            </w:r>
            <w:r w:rsidR="00C60DFB">
              <w:t xml:space="preserve">that </w:t>
            </w:r>
            <w:r w:rsidR="00B201BF">
              <w:t xml:space="preserve">the </w:t>
            </w:r>
            <w:r w:rsidR="00B201BF" w:rsidRPr="00B201BF">
              <w:t xml:space="preserve">illegibility of a signature on a petition submitted to a home-rule city is not a valid basis for invalidating the signature if the </w:t>
            </w:r>
            <w:r w:rsidR="008A7F55">
              <w:t xml:space="preserve">requisite </w:t>
            </w:r>
            <w:r w:rsidR="00B201BF" w:rsidRPr="00B201BF">
              <w:t>information provided with the signature legibly provides enough information to demonstrate that the signer</w:t>
            </w:r>
            <w:r w:rsidR="00B201BF">
              <w:t xml:space="preserve"> </w:t>
            </w:r>
            <w:r w:rsidR="00B201BF" w:rsidRPr="00B201BF">
              <w:t>is eligible to have signed the petition</w:t>
            </w:r>
            <w:r w:rsidR="008A7F55">
              <w:t xml:space="preserve"> </w:t>
            </w:r>
            <w:r w:rsidR="00B201BF" w:rsidRPr="00B201BF">
              <w:t>and</w:t>
            </w:r>
            <w:r w:rsidR="00B201BF">
              <w:t xml:space="preserve"> </w:t>
            </w:r>
            <w:r w:rsidR="008A7F55">
              <w:t>did so</w:t>
            </w:r>
            <w:r w:rsidR="00B201BF" w:rsidRPr="00B201BF">
              <w:t xml:space="preserve"> on or after the 180th day before the date the petition was filed.</w:t>
            </w:r>
          </w:p>
          <w:p w14:paraId="7DCD4814" w14:textId="475335B4" w:rsidR="00812622" w:rsidRDefault="00812622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E401FC4" w14:textId="255910D6" w:rsidR="00812622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12622">
              <w:t>S.B. 221</w:t>
            </w:r>
            <w:r w:rsidR="00B201BF">
              <w:t xml:space="preserve"> </w:t>
            </w:r>
            <w:r w:rsidR="007F7D56">
              <w:t xml:space="preserve">requires the </w:t>
            </w:r>
            <w:r w:rsidR="007F7D56" w:rsidRPr="007F7D56">
              <w:t xml:space="preserve">secretary of state </w:t>
            </w:r>
            <w:r w:rsidR="007F7D56">
              <w:t>to</w:t>
            </w:r>
            <w:r w:rsidR="007F7D56" w:rsidRPr="007F7D56">
              <w:t xml:space="preserve"> prescribe a form, content, and procedure for a petition</w:t>
            </w:r>
            <w:r w:rsidR="007F7D56">
              <w:t xml:space="preserve"> and </w:t>
            </w:r>
            <w:r w:rsidR="00C60DFB">
              <w:t xml:space="preserve">to </w:t>
            </w:r>
            <w:r w:rsidR="007F7D56" w:rsidRPr="007F7D56">
              <w:t xml:space="preserve">adopt </w:t>
            </w:r>
            <w:r w:rsidR="007F7D56">
              <w:t>the</w:t>
            </w:r>
            <w:r w:rsidR="007F7D56" w:rsidRPr="007F7D56">
              <w:t xml:space="preserve"> petition form </w:t>
            </w:r>
            <w:r w:rsidR="007F7D56">
              <w:t>no</w:t>
            </w:r>
            <w:r w:rsidR="007F7D56" w:rsidRPr="007F7D56">
              <w:t>t later than January 1, 2024</w:t>
            </w:r>
            <w:r w:rsidR="007F7D56">
              <w:t xml:space="preserve">. </w:t>
            </w:r>
            <w:r w:rsidR="00555206">
              <w:t>A person who circulates or submits a petition is expressly not required to</w:t>
            </w:r>
            <w:r w:rsidR="00555206" w:rsidRPr="002615AE">
              <w:t xml:space="preserve"> use a petition form prescribed by the secretary of state or a home-rule city</w:t>
            </w:r>
            <w:r w:rsidR="00555206">
              <w:t xml:space="preserve">, but the bill requires a petition that does not use an officially prescribed form to contain the </w:t>
            </w:r>
            <w:r w:rsidR="00555206" w:rsidRPr="002615AE">
              <w:t>substantial elements required to be provided on the officially prescribed form</w:t>
            </w:r>
            <w:r w:rsidR="00555206">
              <w:t xml:space="preserve">. </w:t>
            </w:r>
            <w:r w:rsidR="007F7D56">
              <w:t xml:space="preserve">The bill </w:t>
            </w:r>
            <w:r w:rsidR="00CE37ED">
              <w:t xml:space="preserve">prohibits a home-rule city </w:t>
            </w:r>
            <w:r w:rsidR="008A7F55">
              <w:t xml:space="preserve">that uses a form different than that prescribed by the secretary of state </w:t>
            </w:r>
            <w:r w:rsidR="00CE37ED">
              <w:t xml:space="preserve">from invalidating a petition </w:t>
            </w:r>
            <w:r w:rsidR="00CE37ED" w:rsidRPr="00CE37ED">
              <w:t>because the petition does not contain information that the petition form failed to provide for or to require to be provided</w:t>
            </w:r>
            <w:r w:rsidR="008A7F55">
              <w:t>.</w:t>
            </w:r>
            <w:r w:rsidR="00CE37ED">
              <w:t xml:space="preserve"> </w:t>
            </w:r>
          </w:p>
          <w:p w14:paraId="3795FC0E" w14:textId="0FF37DA8" w:rsidR="00812622" w:rsidRDefault="00812622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2000731" w14:textId="430E2356" w:rsidR="00555206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12622">
              <w:t>S.B. 221</w:t>
            </w:r>
            <w:r w:rsidR="00E1769C">
              <w:t xml:space="preserve"> </w:t>
            </w:r>
            <w:r w:rsidR="004F786E">
              <w:t xml:space="preserve">repeals a provision establishing that any additional requirements for the </w:t>
            </w:r>
            <w:r w:rsidR="004F786E" w:rsidRPr="004F786E">
              <w:t>validity or verification of petition signatures</w:t>
            </w:r>
            <w:r w:rsidR="004F786E">
              <w:t xml:space="preserve"> on a petition </w:t>
            </w:r>
            <w:r w:rsidR="004F786E" w:rsidRPr="00AD1E24">
              <w:t xml:space="preserve">authorized or required to be filed under a law outside </w:t>
            </w:r>
            <w:r w:rsidR="004F786E">
              <w:t>the Election Code</w:t>
            </w:r>
            <w:r w:rsidR="004F786E" w:rsidRPr="00AD1E24">
              <w:t xml:space="preserve"> in connection with an election</w:t>
            </w:r>
            <w:r w:rsidR="004F786E">
              <w:t xml:space="preserve"> that are prescribed by </w:t>
            </w:r>
            <w:r w:rsidR="004F786E" w:rsidRPr="004F786E">
              <w:t>a home-rule city charter provision or a city ordinance are effective only if the charter provision or ordinance was in effect September 1, 1985</w:t>
            </w:r>
            <w:r w:rsidR="004F786E">
              <w:t>. The bill</w:t>
            </w:r>
            <w:r w:rsidR="004F786E" w:rsidRPr="004F786E">
              <w:t xml:space="preserve"> </w:t>
            </w:r>
            <w:r>
              <w:t xml:space="preserve">establishes the following with respect to </w:t>
            </w:r>
            <w:r w:rsidR="00EB1A56" w:rsidRPr="00EB1A56">
              <w:t>a home-rule city that has a procedure requiring the governing body of the city to hold an election on receipt of a petition requesting the election that complies with the applicable requirements</w:t>
            </w:r>
            <w:r>
              <w:t>:</w:t>
            </w:r>
          </w:p>
          <w:p w14:paraId="586B315C" w14:textId="22BE9976" w:rsidR="00555206" w:rsidRDefault="005F363B" w:rsidP="0097017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city secretary is required to determine the validity of such a submitted petition, including </w:t>
            </w:r>
            <w:r w:rsidRPr="00EB1A56">
              <w:t>by verifying the petition signatures, not later than the 30th day after the date the city receives the petition</w:t>
            </w:r>
            <w:r>
              <w:t>;</w:t>
            </w:r>
          </w:p>
          <w:p w14:paraId="0511FCBE" w14:textId="787C5D46" w:rsidR="007A615E" w:rsidRDefault="005F363B" w:rsidP="0097017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city is prohibited from restricti</w:t>
            </w:r>
            <w:r>
              <w:t>ng who may collect petition signatures; and</w:t>
            </w:r>
          </w:p>
          <w:p w14:paraId="56132C8E" w14:textId="249ED2E6" w:rsidR="007A615E" w:rsidRDefault="005F363B" w:rsidP="0097017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requirement and prohibition apply n</w:t>
            </w:r>
            <w:r w:rsidRPr="00EB1A56">
              <w:t>otwithstanding any city charter provision or other law</w:t>
            </w:r>
            <w:r w:rsidR="006920AD">
              <w:t xml:space="preserve"> and must not interfere </w:t>
            </w:r>
            <w:r w:rsidR="006920AD" w:rsidRPr="00EB1A56">
              <w:t>with the Military and Overseas Voter Empowerment Act</w:t>
            </w:r>
            <w:r w:rsidR="006920AD">
              <w:t>.</w:t>
            </w:r>
          </w:p>
          <w:p w14:paraId="70462036" w14:textId="57FB2014" w:rsidR="00EB1A56" w:rsidRDefault="00EB1A56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0A9534" w14:textId="0B35CA91" w:rsidR="00CA5B39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221, with respect to the prohibition in current law on a corporation or labor organization making a political contribution in connection with a recall election, including the circulation and submission of a petition to call an election, expressly prov</w:t>
            </w:r>
            <w:r>
              <w:t>ides that this prohibition does not prohibit a religious organization from circulating or submitting a petition in connection with a recall election.</w:t>
            </w:r>
          </w:p>
          <w:p w14:paraId="7CDE4556" w14:textId="77777777" w:rsidR="00CA5B39" w:rsidRDefault="00CA5B39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D0C5EA" w14:textId="5FD4AC2E" w:rsidR="00D27F8C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B1A56">
              <w:t>S.B. 221</w:t>
            </w:r>
            <w:r w:rsidR="00DF6CF6">
              <w:t xml:space="preserve"> </w:t>
            </w:r>
            <w:r w:rsidR="003B75CA">
              <w:t xml:space="preserve">amends the Local Government Code to </w:t>
            </w:r>
            <w:r>
              <w:t>revise requirements for</w:t>
            </w:r>
            <w:r w:rsidR="00DF6CF6">
              <w:t xml:space="preserve"> the governing body of a </w:t>
            </w:r>
            <w:r w:rsidR="0079026C">
              <w:t xml:space="preserve">home-rule </w:t>
            </w:r>
            <w:r w:rsidR="00DF6CF6">
              <w:t xml:space="preserve">municipality to submit </w:t>
            </w:r>
            <w:r w:rsidR="00DF6CF6" w:rsidRPr="00DF6CF6">
              <w:t>a proposed charter amendment to the voters for their approval at an election if the submission is supported by a petition</w:t>
            </w:r>
            <w:r w:rsidR="009802DF">
              <w:t>. The bill,</w:t>
            </w:r>
            <w:r>
              <w:t xml:space="preserve"> as follows:</w:t>
            </w:r>
          </w:p>
          <w:p w14:paraId="6DCEDEE3" w14:textId="61BF5B2C" w:rsidR="000A0D07" w:rsidRDefault="005F363B" w:rsidP="0097017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changes the voters by which the petition must be </w:t>
            </w:r>
            <w:r w:rsidR="00DF6CF6" w:rsidRPr="00DF6CF6">
              <w:t>signed</w:t>
            </w:r>
            <w:r>
              <w:t xml:space="preserve"> from</w:t>
            </w:r>
            <w:r w:rsidR="00DF6CF6" w:rsidRPr="00DF6CF6">
              <w:t xml:space="preserve"> a number of </w:t>
            </w:r>
            <w:r>
              <w:t xml:space="preserve">qualified </w:t>
            </w:r>
            <w:r w:rsidR="00DF6CF6" w:rsidRPr="00DF6CF6">
              <w:t xml:space="preserve">voters of the municipality equal to at least five percent of the number of </w:t>
            </w:r>
            <w:r>
              <w:t xml:space="preserve">qualified </w:t>
            </w:r>
            <w:r w:rsidR="00DF6CF6" w:rsidRPr="00DF6CF6">
              <w:t xml:space="preserve">voters of the municipality </w:t>
            </w:r>
            <w:r w:rsidRPr="00DF6CF6">
              <w:t>or 20,000, whichever number is the smaller</w:t>
            </w:r>
            <w:r>
              <w:t xml:space="preserve">, to that amount of registered voters; </w:t>
            </w:r>
          </w:p>
          <w:p w14:paraId="252AD580" w14:textId="3E982E84" w:rsidR="008349F5" w:rsidRDefault="005F363B" w:rsidP="0097017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the number of reg</w:t>
            </w:r>
            <w:r>
              <w:t xml:space="preserve">istered voters of the municipality for the purpose of determining that percentage is the number of registered voters </w:t>
            </w:r>
            <w:r w:rsidR="00DF6CF6" w:rsidRPr="00DF6CF6">
              <w:t>on the date of the most recent election held throughout the municipality</w:t>
            </w:r>
            <w:r>
              <w:t>;</w:t>
            </w:r>
            <w:r w:rsidR="00DF6CF6">
              <w:t xml:space="preserve"> </w:t>
            </w:r>
            <w:r>
              <w:t>and</w:t>
            </w:r>
          </w:p>
          <w:p w14:paraId="5ECC722C" w14:textId="689A94C6" w:rsidR="00EB1A56" w:rsidRDefault="005F363B" w:rsidP="0097017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the</w:t>
            </w:r>
            <w:r w:rsidR="00DF6CF6">
              <w:t xml:space="preserve"> </w:t>
            </w:r>
            <w:r w:rsidR="00DF6CF6" w:rsidRPr="00DF6CF6">
              <w:t xml:space="preserve">substantial copy of the proposed amendment </w:t>
            </w:r>
            <w:r>
              <w:t xml:space="preserve">that must be included </w:t>
            </w:r>
            <w:r w:rsidR="00DF6CF6" w:rsidRPr="00DF6CF6">
              <w:t>in</w:t>
            </w:r>
            <w:r>
              <w:t xml:space="preserve"> published notice of the election</w:t>
            </w:r>
            <w:r w:rsidR="00DF6CF6" w:rsidRPr="00DF6CF6">
              <w:t xml:space="preserve"> </w:t>
            </w:r>
            <w:r>
              <w:t xml:space="preserve">is one in </w:t>
            </w:r>
            <w:r w:rsidR="00DF6CF6" w:rsidRPr="00DF6CF6">
              <w:t>which language sought to be deleted by the amendment is bracketed and stricken through and language sought to be added by the amendment is underlined.</w:t>
            </w:r>
          </w:p>
          <w:p w14:paraId="108E167E" w14:textId="360196C6" w:rsidR="008B5F3B" w:rsidRDefault="008B5F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601E9D7" w14:textId="1008CD5F" w:rsidR="008B5F3B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221 applies only to a petition</w:t>
            </w:r>
            <w:r>
              <w:t xml:space="preserve"> submitted on or after January 1, 2024.</w:t>
            </w:r>
          </w:p>
          <w:p w14:paraId="3CBB76D0" w14:textId="74E42E09" w:rsidR="008B5F3B" w:rsidRDefault="008B5F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C6FC83" w14:textId="1933CA37" w:rsidR="008B5F3B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221 repeals Section 277.004, Election Code.</w:t>
            </w:r>
          </w:p>
          <w:p w14:paraId="43F2FBB2" w14:textId="77777777" w:rsidR="008423E4" w:rsidRPr="00835628" w:rsidRDefault="008423E4" w:rsidP="00970173">
            <w:pPr>
              <w:rPr>
                <w:b/>
              </w:rPr>
            </w:pPr>
          </w:p>
        </w:tc>
      </w:tr>
      <w:tr w:rsidR="00487EE7" w14:paraId="38377739" w14:textId="77777777" w:rsidTr="00345119">
        <w:tc>
          <w:tcPr>
            <w:tcW w:w="9576" w:type="dxa"/>
          </w:tcPr>
          <w:p w14:paraId="557C29CE" w14:textId="77777777" w:rsidR="008423E4" w:rsidRPr="00A8133F" w:rsidRDefault="005F363B" w:rsidP="009701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5CAF23" w14:textId="77777777" w:rsidR="008423E4" w:rsidRDefault="008423E4" w:rsidP="00970173"/>
          <w:p w14:paraId="59B78963" w14:textId="538C514D" w:rsidR="008423E4" w:rsidRPr="003624F2" w:rsidRDefault="005F363B" w:rsidP="00970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11E733A" w14:textId="77777777" w:rsidR="008423E4" w:rsidRPr="00233FDB" w:rsidRDefault="008423E4" w:rsidP="00970173">
            <w:pPr>
              <w:rPr>
                <w:b/>
              </w:rPr>
            </w:pPr>
          </w:p>
        </w:tc>
      </w:tr>
    </w:tbl>
    <w:p w14:paraId="42E5A8FD" w14:textId="77777777" w:rsidR="008423E4" w:rsidRPr="00BE0E75" w:rsidRDefault="008423E4" w:rsidP="00970173">
      <w:pPr>
        <w:jc w:val="both"/>
        <w:rPr>
          <w:rFonts w:ascii="Arial" w:hAnsi="Arial"/>
          <w:sz w:val="16"/>
          <w:szCs w:val="16"/>
        </w:rPr>
      </w:pPr>
    </w:p>
    <w:p w14:paraId="7F90BF3C" w14:textId="77777777" w:rsidR="004108C3" w:rsidRPr="008423E4" w:rsidRDefault="004108C3" w:rsidP="0097017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9D2B" w14:textId="77777777" w:rsidR="00000000" w:rsidRDefault="005F363B">
      <w:r>
        <w:separator/>
      </w:r>
    </w:p>
  </w:endnote>
  <w:endnote w:type="continuationSeparator" w:id="0">
    <w:p w14:paraId="10247E7B" w14:textId="77777777" w:rsidR="00000000" w:rsidRDefault="005F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2DE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7EE7" w14:paraId="73B1F8BF" w14:textId="77777777" w:rsidTr="009C1E9A">
      <w:trPr>
        <w:cantSplit/>
      </w:trPr>
      <w:tc>
        <w:tcPr>
          <w:tcW w:w="0" w:type="pct"/>
        </w:tcPr>
        <w:p w14:paraId="1C286A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81C9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17992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5B64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20F7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7EE7" w14:paraId="4A1C6DF4" w14:textId="77777777" w:rsidTr="009C1E9A">
      <w:trPr>
        <w:cantSplit/>
      </w:trPr>
      <w:tc>
        <w:tcPr>
          <w:tcW w:w="0" w:type="pct"/>
        </w:tcPr>
        <w:p w14:paraId="0DA0A7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45E955" w14:textId="404801A2" w:rsidR="00EC379B" w:rsidRPr="009C1E9A" w:rsidRDefault="005F36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28787-D</w:t>
          </w:r>
        </w:p>
      </w:tc>
      <w:tc>
        <w:tcPr>
          <w:tcW w:w="2453" w:type="pct"/>
        </w:tcPr>
        <w:p w14:paraId="00153EF2" w14:textId="7980BA8B" w:rsidR="00EC379B" w:rsidRDefault="005F36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1A14">
            <w:t>23.126.1444</w:t>
          </w:r>
          <w:r>
            <w:fldChar w:fldCharType="end"/>
          </w:r>
        </w:p>
      </w:tc>
    </w:tr>
    <w:tr w:rsidR="00487EE7" w14:paraId="19C0A8D6" w14:textId="77777777" w:rsidTr="009C1E9A">
      <w:trPr>
        <w:cantSplit/>
      </w:trPr>
      <w:tc>
        <w:tcPr>
          <w:tcW w:w="0" w:type="pct"/>
        </w:tcPr>
        <w:p w14:paraId="3FB311A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B8AC8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C06D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2BE3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7EE7" w14:paraId="30D2024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19E439" w14:textId="77777777" w:rsidR="00EC379B" w:rsidRDefault="005F36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5527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AE2BF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AA6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8DD3" w14:textId="77777777" w:rsidR="00000000" w:rsidRDefault="005F363B">
      <w:r>
        <w:separator/>
      </w:r>
    </w:p>
  </w:footnote>
  <w:footnote w:type="continuationSeparator" w:id="0">
    <w:p w14:paraId="152E16A4" w14:textId="77777777" w:rsidR="00000000" w:rsidRDefault="005F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568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1D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4E2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D9E"/>
    <w:multiLevelType w:val="hybridMultilevel"/>
    <w:tmpl w:val="25626BFA"/>
    <w:lvl w:ilvl="0" w:tplc="2BDE4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C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9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E7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41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A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D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3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A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189"/>
    <w:multiLevelType w:val="hybridMultilevel"/>
    <w:tmpl w:val="E3C20CB2"/>
    <w:lvl w:ilvl="0" w:tplc="00946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E4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41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0A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A0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B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9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2F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7264"/>
    <w:multiLevelType w:val="hybridMultilevel"/>
    <w:tmpl w:val="79D2FD82"/>
    <w:lvl w:ilvl="0" w:tplc="B6A20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8B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AD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88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0C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00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C9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48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6596B"/>
    <w:multiLevelType w:val="hybridMultilevel"/>
    <w:tmpl w:val="4524DD7A"/>
    <w:lvl w:ilvl="0" w:tplc="D3FAC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EE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8B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67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5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EC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1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E1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8F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438"/>
    <w:multiLevelType w:val="hybridMultilevel"/>
    <w:tmpl w:val="54CA4814"/>
    <w:lvl w:ilvl="0" w:tplc="458C6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E9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29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44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7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C6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4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6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60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6BEB"/>
    <w:multiLevelType w:val="hybridMultilevel"/>
    <w:tmpl w:val="EEB05610"/>
    <w:lvl w:ilvl="0" w:tplc="2048E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00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C7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04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01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F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2C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C1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0A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94550">
    <w:abstractNumId w:val="2"/>
  </w:num>
  <w:num w:numId="2" w16cid:durableId="1346520407">
    <w:abstractNumId w:val="3"/>
  </w:num>
  <w:num w:numId="3" w16cid:durableId="805393244">
    <w:abstractNumId w:val="0"/>
  </w:num>
  <w:num w:numId="4" w16cid:durableId="466751698">
    <w:abstractNumId w:val="1"/>
  </w:num>
  <w:num w:numId="5" w16cid:durableId="1125737235">
    <w:abstractNumId w:val="4"/>
  </w:num>
  <w:num w:numId="6" w16cid:durableId="769620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31F"/>
    <w:rsid w:val="000871E7"/>
    <w:rsid w:val="00090E6B"/>
    <w:rsid w:val="00091B2C"/>
    <w:rsid w:val="00092ABC"/>
    <w:rsid w:val="00097AAF"/>
    <w:rsid w:val="00097D13"/>
    <w:rsid w:val="000A0D07"/>
    <w:rsid w:val="000A4893"/>
    <w:rsid w:val="000A54E0"/>
    <w:rsid w:val="000A72C4"/>
    <w:rsid w:val="000A72EF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17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326"/>
    <w:rsid w:val="00216BBA"/>
    <w:rsid w:val="00216E12"/>
    <w:rsid w:val="00217466"/>
    <w:rsid w:val="0021751D"/>
    <w:rsid w:val="00217C49"/>
    <w:rsid w:val="0022177D"/>
    <w:rsid w:val="002242DA"/>
    <w:rsid w:val="00224C37"/>
    <w:rsid w:val="0022562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5AE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0BA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88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5CA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837"/>
    <w:rsid w:val="003E79F5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056"/>
    <w:rsid w:val="004134CE"/>
    <w:rsid w:val="004136A8"/>
    <w:rsid w:val="00415139"/>
    <w:rsid w:val="004166BB"/>
    <w:rsid w:val="004174CD"/>
    <w:rsid w:val="00421F7F"/>
    <w:rsid w:val="00422039"/>
    <w:rsid w:val="00423FBC"/>
    <w:rsid w:val="004241AA"/>
    <w:rsid w:val="0042422E"/>
    <w:rsid w:val="0043190E"/>
    <w:rsid w:val="00431A14"/>
    <w:rsid w:val="004324E9"/>
    <w:rsid w:val="004350F3"/>
    <w:rsid w:val="00436980"/>
    <w:rsid w:val="00441016"/>
    <w:rsid w:val="00441F2F"/>
    <w:rsid w:val="0044228B"/>
    <w:rsid w:val="0044236E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EE7"/>
    <w:rsid w:val="00491279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B8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86E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459"/>
    <w:rsid w:val="00545548"/>
    <w:rsid w:val="00546923"/>
    <w:rsid w:val="00551CA6"/>
    <w:rsid w:val="00555034"/>
    <w:rsid w:val="00555206"/>
    <w:rsid w:val="005570D2"/>
    <w:rsid w:val="00561528"/>
    <w:rsid w:val="0056153F"/>
    <w:rsid w:val="00561B14"/>
    <w:rsid w:val="00562C87"/>
    <w:rsid w:val="005636BD"/>
    <w:rsid w:val="00564B41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8B6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10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63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AE9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0AD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487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783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B0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8E1"/>
    <w:rsid w:val="0078552A"/>
    <w:rsid w:val="00785729"/>
    <w:rsid w:val="00786058"/>
    <w:rsid w:val="0079026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15E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D56"/>
    <w:rsid w:val="00800C63"/>
    <w:rsid w:val="00802243"/>
    <w:rsid w:val="008023D4"/>
    <w:rsid w:val="00804124"/>
    <w:rsid w:val="00805402"/>
    <w:rsid w:val="0080765F"/>
    <w:rsid w:val="00812622"/>
    <w:rsid w:val="00812BE3"/>
    <w:rsid w:val="00814516"/>
    <w:rsid w:val="00814D49"/>
    <w:rsid w:val="00815C9D"/>
    <w:rsid w:val="008170E2"/>
    <w:rsid w:val="00823E4C"/>
    <w:rsid w:val="00827749"/>
    <w:rsid w:val="00827B7E"/>
    <w:rsid w:val="00830EEB"/>
    <w:rsid w:val="008347A9"/>
    <w:rsid w:val="008349F5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F0F"/>
    <w:rsid w:val="008A3188"/>
    <w:rsid w:val="008A3FDF"/>
    <w:rsid w:val="008A6418"/>
    <w:rsid w:val="008A76FE"/>
    <w:rsid w:val="008A7F55"/>
    <w:rsid w:val="008B05D8"/>
    <w:rsid w:val="008B0B3D"/>
    <w:rsid w:val="008B2B1A"/>
    <w:rsid w:val="008B3428"/>
    <w:rsid w:val="008B4A91"/>
    <w:rsid w:val="008B5F3B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1F0"/>
    <w:rsid w:val="00901670"/>
    <w:rsid w:val="00902212"/>
    <w:rsid w:val="00903E0A"/>
    <w:rsid w:val="00904721"/>
    <w:rsid w:val="00907780"/>
    <w:rsid w:val="00907EDD"/>
    <w:rsid w:val="009107AD"/>
    <w:rsid w:val="00913C25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54A"/>
    <w:rsid w:val="0093417F"/>
    <w:rsid w:val="00934ABA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F52"/>
    <w:rsid w:val="0095696D"/>
    <w:rsid w:val="00960F2D"/>
    <w:rsid w:val="0096482F"/>
    <w:rsid w:val="00964E3A"/>
    <w:rsid w:val="00967126"/>
    <w:rsid w:val="00970173"/>
    <w:rsid w:val="00970EAE"/>
    <w:rsid w:val="00971627"/>
    <w:rsid w:val="00972797"/>
    <w:rsid w:val="0097279D"/>
    <w:rsid w:val="00976837"/>
    <w:rsid w:val="009802DF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ACB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F0E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01B"/>
    <w:rsid w:val="00A17A67"/>
    <w:rsid w:val="00A220FF"/>
    <w:rsid w:val="00A227E0"/>
    <w:rsid w:val="00A232E4"/>
    <w:rsid w:val="00A24005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02B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8D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E24"/>
    <w:rsid w:val="00AD304B"/>
    <w:rsid w:val="00AD4497"/>
    <w:rsid w:val="00AD7780"/>
    <w:rsid w:val="00AE2263"/>
    <w:rsid w:val="00AE248E"/>
    <w:rsid w:val="00AE2D12"/>
    <w:rsid w:val="00AE2F06"/>
    <w:rsid w:val="00AE4F1C"/>
    <w:rsid w:val="00AE5D98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1BF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18B"/>
    <w:rsid w:val="00C2142B"/>
    <w:rsid w:val="00C22987"/>
    <w:rsid w:val="00C23956"/>
    <w:rsid w:val="00C248E6"/>
    <w:rsid w:val="00C2766F"/>
    <w:rsid w:val="00C3218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DFB"/>
    <w:rsid w:val="00C615D4"/>
    <w:rsid w:val="00C61B5D"/>
    <w:rsid w:val="00C61C0E"/>
    <w:rsid w:val="00C61C64"/>
    <w:rsid w:val="00C61CDA"/>
    <w:rsid w:val="00C66AD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B39"/>
    <w:rsid w:val="00CA5E5E"/>
    <w:rsid w:val="00CA79F1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FDD"/>
    <w:rsid w:val="00CC24B7"/>
    <w:rsid w:val="00CC7131"/>
    <w:rsid w:val="00CC7B9E"/>
    <w:rsid w:val="00CD06CA"/>
    <w:rsid w:val="00CD076A"/>
    <w:rsid w:val="00CD180C"/>
    <w:rsid w:val="00CD37DA"/>
    <w:rsid w:val="00CD4F2C"/>
    <w:rsid w:val="00CD52C5"/>
    <w:rsid w:val="00CD731C"/>
    <w:rsid w:val="00CE08E8"/>
    <w:rsid w:val="00CE2133"/>
    <w:rsid w:val="00CE245D"/>
    <w:rsid w:val="00CE300F"/>
    <w:rsid w:val="00CE3582"/>
    <w:rsid w:val="00CE3795"/>
    <w:rsid w:val="00CE37ED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A88"/>
    <w:rsid w:val="00D22160"/>
    <w:rsid w:val="00D22172"/>
    <w:rsid w:val="00D2301B"/>
    <w:rsid w:val="00D239EE"/>
    <w:rsid w:val="00D27F8C"/>
    <w:rsid w:val="00D30534"/>
    <w:rsid w:val="00D35728"/>
    <w:rsid w:val="00D357ED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A42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6CF6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69C"/>
    <w:rsid w:val="00E20520"/>
    <w:rsid w:val="00E21D55"/>
    <w:rsid w:val="00E21FDC"/>
    <w:rsid w:val="00E2551E"/>
    <w:rsid w:val="00E26B13"/>
    <w:rsid w:val="00E27E5A"/>
    <w:rsid w:val="00E31135"/>
    <w:rsid w:val="00E317BA"/>
    <w:rsid w:val="00E32415"/>
    <w:rsid w:val="00E3469B"/>
    <w:rsid w:val="00E3679D"/>
    <w:rsid w:val="00E3795D"/>
    <w:rsid w:val="00E402C8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7AB"/>
    <w:rsid w:val="00E93DEF"/>
    <w:rsid w:val="00E947B1"/>
    <w:rsid w:val="00E96852"/>
    <w:rsid w:val="00EA16AC"/>
    <w:rsid w:val="00EA385A"/>
    <w:rsid w:val="00EA3931"/>
    <w:rsid w:val="00EA658E"/>
    <w:rsid w:val="00EA7A88"/>
    <w:rsid w:val="00EB1A56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0E0"/>
    <w:rsid w:val="00ED12C0"/>
    <w:rsid w:val="00ED19F0"/>
    <w:rsid w:val="00ED2B50"/>
    <w:rsid w:val="00ED3A32"/>
    <w:rsid w:val="00ED3BDE"/>
    <w:rsid w:val="00ED4F90"/>
    <w:rsid w:val="00ED68FB"/>
    <w:rsid w:val="00ED783A"/>
    <w:rsid w:val="00EE2E34"/>
    <w:rsid w:val="00EE2E91"/>
    <w:rsid w:val="00EE3370"/>
    <w:rsid w:val="00EE43A2"/>
    <w:rsid w:val="00EE46B7"/>
    <w:rsid w:val="00EE5888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D5E"/>
    <w:rsid w:val="00F036C3"/>
    <w:rsid w:val="00F0417E"/>
    <w:rsid w:val="00F05397"/>
    <w:rsid w:val="00F0638C"/>
    <w:rsid w:val="00F11E04"/>
    <w:rsid w:val="00F12B24"/>
    <w:rsid w:val="00F12BC7"/>
    <w:rsid w:val="00F15223"/>
    <w:rsid w:val="00F15BE2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276"/>
    <w:rsid w:val="00F4569E"/>
    <w:rsid w:val="00F45AFC"/>
    <w:rsid w:val="00F462F4"/>
    <w:rsid w:val="00F46C3E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5F9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07DF50-0AAA-44EC-A24D-64E0B6E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B5F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5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5F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5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5F3B"/>
    <w:rPr>
      <w:b/>
      <w:bCs/>
    </w:rPr>
  </w:style>
  <w:style w:type="paragraph" w:styleId="Revision">
    <w:name w:val="Revision"/>
    <w:hidden/>
    <w:uiPriority w:val="99"/>
    <w:semiHidden/>
    <w:rsid w:val="009D3F0E"/>
    <w:rPr>
      <w:sz w:val="24"/>
      <w:szCs w:val="24"/>
    </w:rPr>
  </w:style>
  <w:style w:type="character" w:styleId="Hyperlink">
    <w:name w:val="Hyperlink"/>
    <w:basedOn w:val="DefaultParagraphFont"/>
    <w:unhideWhenUsed/>
    <w:rsid w:val="00C211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7496</Characters>
  <Application>Microsoft Office Word</Application>
  <DocSecurity>4</DocSecurity>
  <Lines>144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SB00221 (Committee Report (Unamended))</vt:lpstr>
    </vt:vector>
  </TitlesOfParts>
  <Company>State of Texas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28787</dc:subject>
  <dc:creator>State of Texas</dc:creator>
  <dc:description>SB 221 by Bettencourt-(H)Elections</dc:description>
  <cp:lastModifiedBy>Damian Duarte</cp:lastModifiedBy>
  <cp:revision>2</cp:revision>
  <cp:lastPrinted>2003-11-26T17:21:00Z</cp:lastPrinted>
  <dcterms:created xsi:type="dcterms:W3CDTF">2023-05-10T23:10:00Z</dcterms:created>
  <dcterms:modified xsi:type="dcterms:W3CDTF">2023-05-10T23:10:00Z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23.126.1444</vt:lpwstr>
  </property>
</Properties>
</file>