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7AFD" w14:paraId="5F84CAA7" w14:textId="77777777" w:rsidTr="00345119">
        <w:tc>
          <w:tcPr>
            <w:tcW w:w="9576" w:type="dxa"/>
            <w:noWrap/>
          </w:tcPr>
          <w:p w14:paraId="39071386" w14:textId="77777777" w:rsidR="008423E4" w:rsidRPr="0022177D" w:rsidRDefault="002D5AA4" w:rsidP="00846D72">
            <w:pPr>
              <w:pStyle w:val="Heading1"/>
            </w:pPr>
            <w:r w:rsidRPr="00631897">
              <w:t>BILL ANALYSIS</w:t>
            </w:r>
          </w:p>
        </w:tc>
      </w:tr>
    </w:tbl>
    <w:p w14:paraId="045F53BF" w14:textId="77777777" w:rsidR="008423E4" w:rsidRPr="00E06565" w:rsidRDefault="008423E4" w:rsidP="00846D72">
      <w:pPr>
        <w:jc w:val="center"/>
        <w:rPr>
          <w:sz w:val="20"/>
          <w:szCs w:val="20"/>
        </w:rPr>
      </w:pPr>
    </w:p>
    <w:p w14:paraId="581C6927" w14:textId="77777777" w:rsidR="008423E4" w:rsidRPr="00E06565" w:rsidRDefault="008423E4" w:rsidP="00846D72">
      <w:pPr>
        <w:rPr>
          <w:sz w:val="20"/>
          <w:szCs w:val="20"/>
        </w:rPr>
      </w:pPr>
    </w:p>
    <w:p w14:paraId="54FAE1CC" w14:textId="77777777" w:rsidR="008423E4" w:rsidRPr="00E06565" w:rsidRDefault="008423E4" w:rsidP="00846D72">
      <w:pPr>
        <w:tabs>
          <w:tab w:val="right" w:pos="9360"/>
        </w:tabs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7AFD" w14:paraId="3B9D67B3" w14:textId="77777777" w:rsidTr="00345119">
        <w:tc>
          <w:tcPr>
            <w:tcW w:w="9576" w:type="dxa"/>
          </w:tcPr>
          <w:p w14:paraId="37B526C7" w14:textId="01F3C390" w:rsidR="008423E4" w:rsidRPr="00861995" w:rsidRDefault="002D5AA4" w:rsidP="00846D72">
            <w:pPr>
              <w:jc w:val="right"/>
            </w:pPr>
            <w:r>
              <w:t>C.S.S.B. 267</w:t>
            </w:r>
          </w:p>
        </w:tc>
      </w:tr>
      <w:tr w:rsidR="00747AFD" w14:paraId="3958CA77" w14:textId="77777777" w:rsidTr="00345119">
        <w:tc>
          <w:tcPr>
            <w:tcW w:w="9576" w:type="dxa"/>
          </w:tcPr>
          <w:p w14:paraId="20A01BD7" w14:textId="3F15F45D" w:rsidR="008423E4" w:rsidRPr="00861995" w:rsidRDefault="002D5AA4" w:rsidP="00846D72">
            <w:pPr>
              <w:jc w:val="right"/>
            </w:pPr>
            <w:r>
              <w:t xml:space="preserve">By: </w:t>
            </w:r>
            <w:r w:rsidR="005D7BA9">
              <w:t>King</w:t>
            </w:r>
          </w:p>
        </w:tc>
      </w:tr>
      <w:tr w:rsidR="00747AFD" w14:paraId="4EB9BDAF" w14:textId="77777777" w:rsidTr="00345119">
        <w:tc>
          <w:tcPr>
            <w:tcW w:w="9576" w:type="dxa"/>
          </w:tcPr>
          <w:p w14:paraId="1E5C1C63" w14:textId="1608515C" w:rsidR="008423E4" w:rsidRPr="00861995" w:rsidRDefault="002D5AA4" w:rsidP="00846D72">
            <w:pPr>
              <w:jc w:val="right"/>
            </w:pPr>
            <w:r>
              <w:t>Homeland Security &amp; Public Safety</w:t>
            </w:r>
          </w:p>
        </w:tc>
      </w:tr>
      <w:tr w:rsidR="00747AFD" w14:paraId="3728EF92" w14:textId="77777777" w:rsidTr="00345119">
        <w:tc>
          <w:tcPr>
            <w:tcW w:w="9576" w:type="dxa"/>
          </w:tcPr>
          <w:p w14:paraId="46AEB37F" w14:textId="7A69ACB4" w:rsidR="008423E4" w:rsidRDefault="002D5AA4" w:rsidP="00846D72">
            <w:pPr>
              <w:jc w:val="right"/>
            </w:pPr>
            <w:r>
              <w:t>Committee Report (Substituted)</w:t>
            </w:r>
          </w:p>
        </w:tc>
      </w:tr>
    </w:tbl>
    <w:p w14:paraId="387B851D" w14:textId="77777777" w:rsidR="008423E4" w:rsidRPr="00E06565" w:rsidRDefault="008423E4" w:rsidP="00846D72">
      <w:pPr>
        <w:tabs>
          <w:tab w:val="right" w:pos="9360"/>
        </w:tabs>
        <w:rPr>
          <w:sz w:val="20"/>
          <w:szCs w:val="20"/>
        </w:rPr>
      </w:pPr>
    </w:p>
    <w:p w14:paraId="75AE718A" w14:textId="77777777" w:rsidR="008423E4" w:rsidRPr="00E06565" w:rsidRDefault="008423E4" w:rsidP="00846D72">
      <w:pPr>
        <w:rPr>
          <w:sz w:val="20"/>
          <w:szCs w:val="20"/>
        </w:rPr>
      </w:pPr>
    </w:p>
    <w:p w14:paraId="4046AA54" w14:textId="77777777" w:rsidR="008423E4" w:rsidRPr="00E06565" w:rsidRDefault="008423E4" w:rsidP="00846D72">
      <w:pPr>
        <w:rPr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47AFD" w14:paraId="24BE0BA5" w14:textId="77777777" w:rsidTr="00345119">
        <w:tc>
          <w:tcPr>
            <w:tcW w:w="9576" w:type="dxa"/>
          </w:tcPr>
          <w:p w14:paraId="72012145" w14:textId="77777777" w:rsidR="008423E4" w:rsidRPr="00A8133F" w:rsidRDefault="002D5AA4" w:rsidP="00846D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663C38" w14:textId="77777777" w:rsidR="008423E4" w:rsidRPr="00E06565" w:rsidRDefault="008423E4" w:rsidP="00846D72">
            <w:pPr>
              <w:rPr>
                <w:sz w:val="20"/>
                <w:szCs w:val="20"/>
              </w:rPr>
            </w:pPr>
          </w:p>
          <w:p w14:paraId="5D20F666" w14:textId="5338FB97" w:rsidR="008423E4" w:rsidRDefault="002D5AA4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the Sunset Advisory Commission's staff report regarding the Texas Commission on Law Enforcement (TCOLE), there are more than 2,800 law enforcement agencies in Texas. </w:t>
            </w:r>
            <w:r w:rsidR="0044596C">
              <w:t>Given the sheer number of different agencies and different internal policies and standards, the state needs to do more to ensure an adequate level of</w:t>
            </w:r>
            <w:r>
              <w:t xml:space="preserve"> professionalism </w:t>
            </w:r>
            <w:r w:rsidR="0044596C">
              <w:t>in</w:t>
            </w:r>
            <w:r>
              <w:t xml:space="preserve"> law enforcement statewide</w:t>
            </w:r>
            <w:r w:rsidR="0044596C">
              <w:t xml:space="preserve"> to ensure better performance</w:t>
            </w:r>
            <w:r w:rsidR="00203D72">
              <w:t xml:space="preserve">. </w:t>
            </w:r>
            <w:r>
              <w:t>Requiring</w:t>
            </w:r>
            <w:r w:rsidR="00203D72">
              <w:t xml:space="preserve"> more </w:t>
            </w:r>
            <w:r w:rsidR="00221140">
              <w:t xml:space="preserve">law enforcement </w:t>
            </w:r>
            <w:r w:rsidR="00203D72">
              <w:t xml:space="preserve">agencies </w:t>
            </w:r>
            <w:r w:rsidR="00221140">
              <w:t xml:space="preserve">in Texas </w:t>
            </w:r>
            <w:r w:rsidR="00203D72">
              <w:t xml:space="preserve">to </w:t>
            </w:r>
            <w:r>
              <w:t xml:space="preserve">achieve and maintain </w:t>
            </w:r>
            <w:r w:rsidR="00203D72">
              <w:t xml:space="preserve">accreditation through </w:t>
            </w:r>
            <w:r w:rsidR="00F21C76">
              <w:t>entities</w:t>
            </w:r>
            <w:r w:rsidR="00203D72">
              <w:t xml:space="preserve"> such as the </w:t>
            </w:r>
            <w:r w:rsidR="0064667F" w:rsidRPr="0070004C">
              <w:t xml:space="preserve">Texas Police Chiefs Association Law Enforcement </w:t>
            </w:r>
            <w:r w:rsidR="003177E2">
              <w:t xml:space="preserve">Agency </w:t>
            </w:r>
            <w:r w:rsidR="0064667F" w:rsidRPr="0070004C">
              <w:t xml:space="preserve">Best Practices </w:t>
            </w:r>
            <w:r w:rsidR="003177E2">
              <w:t>Accreditation</w:t>
            </w:r>
            <w:r w:rsidR="003177E2" w:rsidRPr="0070004C">
              <w:t xml:space="preserve"> </w:t>
            </w:r>
            <w:r w:rsidR="0064667F" w:rsidRPr="0070004C">
              <w:t>Program</w:t>
            </w:r>
            <w:r>
              <w:t xml:space="preserve"> is one way to achieve this. </w:t>
            </w:r>
            <w:r w:rsidR="0044596C">
              <w:t>P</w:t>
            </w:r>
            <w:r w:rsidR="00203D72">
              <w:t>rofessionaliz</w:t>
            </w:r>
            <w:r w:rsidR="0044596C">
              <w:t>ation</w:t>
            </w:r>
            <w:r w:rsidR="00203D72">
              <w:t xml:space="preserve"> </w:t>
            </w:r>
            <w:r w:rsidR="0044596C">
              <w:t>will</w:t>
            </w:r>
            <w:r w:rsidR="00203D72">
              <w:t xml:space="preserve"> creat</w:t>
            </w:r>
            <w:r w:rsidR="001F165C">
              <w:t>e</w:t>
            </w:r>
            <w:r w:rsidR="00203D72">
              <w:t xml:space="preserve"> an environment that fosters better communication between local </w:t>
            </w:r>
            <w:r w:rsidR="001F165C">
              <w:t>governments</w:t>
            </w:r>
            <w:r w:rsidR="00203D72">
              <w:t xml:space="preserve"> and </w:t>
            </w:r>
            <w:r w:rsidR="00434ED3">
              <w:t xml:space="preserve">law enforcement </w:t>
            </w:r>
            <w:r w:rsidR="00203D72">
              <w:t>agencies and ensur</w:t>
            </w:r>
            <w:r w:rsidR="001F165C">
              <w:t>e</w:t>
            </w:r>
            <w:r w:rsidR="00203D72">
              <w:t xml:space="preserve"> the highest standard of excellence in law enforcement. </w:t>
            </w:r>
            <w:r w:rsidR="0044596C">
              <w:t xml:space="preserve">C.S.S.B. 267 </w:t>
            </w:r>
            <w:r w:rsidR="001F165C">
              <w:t>seeks to</w:t>
            </w:r>
            <w:r w:rsidR="004A5A17">
              <w:t xml:space="preserve"> address this issue by</w:t>
            </w:r>
            <w:r w:rsidR="001F165C">
              <w:t xml:space="preserve"> </w:t>
            </w:r>
            <w:r w:rsidR="0044596C">
              <w:t>requir</w:t>
            </w:r>
            <w:r w:rsidR="004A5A17">
              <w:t xml:space="preserve">ing </w:t>
            </w:r>
            <w:r w:rsidR="0044596C">
              <w:t>certain law enforcement agencies to achieve and maintain accreditation and</w:t>
            </w:r>
            <w:r w:rsidR="004A5A17">
              <w:t xml:space="preserve"> by</w:t>
            </w:r>
            <w:r w:rsidR="001F165C">
              <w:t xml:space="preserve"> creat</w:t>
            </w:r>
            <w:r w:rsidR="004A5A17">
              <w:t>ing</w:t>
            </w:r>
            <w:r w:rsidR="001F165C">
              <w:t xml:space="preserve"> a grant program t</w:t>
            </w:r>
            <w:r w:rsidR="001F165C" w:rsidRPr="001F165C">
              <w:t xml:space="preserve">o provide financial assistance to </w:t>
            </w:r>
            <w:r w:rsidR="0044596C">
              <w:t xml:space="preserve">smaller </w:t>
            </w:r>
            <w:r w:rsidR="001F165C" w:rsidRPr="001F165C">
              <w:t>law enforcement agenc</w:t>
            </w:r>
            <w:r w:rsidR="001F165C">
              <w:t>ies</w:t>
            </w:r>
            <w:r w:rsidR="001F165C" w:rsidRPr="001F165C">
              <w:t xml:space="preserve"> in Texas</w:t>
            </w:r>
            <w:r w:rsidR="001F165C">
              <w:t xml:space="preserve"> for certain accreditation purposes</w:t>
            </w:r>
            <w:r w:rsidR="00203D72">
              <w:t>.</w:t>
            </w:r>
          </w:p>
          <w:p w14:paraId="5499A0E3" w14:textId="77777777" w:rsidR="008423E4" w:rsidRPr="00E26B13" w:rsidRDefault="008423E4" w:rsidP="00846D72">
            <w:pPr>
              <w:rPr>
                <w:b/>
              </w:rPr>
            </w:pPr>
          </w:p>
        </w:tc>
      </w:tr>
      <w:tr w:rsidR="00747AFD" w14:paraId="6620308F" w14:textId="77777777" w:rsidTr="00345119">
        <w:tc>
          <w:tcPr>
            <w:tcW w:w="9576" w:type="dxa"/>
          </w:tcPr>
          <w:p w14:paraId="29D170FD" w14:textId="77777777" w:rsidR="0017725B" w:rsidRDefault="002D5AA4" w:rsidP="00846D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E86EA7" w14:textId="77777777" w:rsidR="0017725B" w:rsidRPr="00E06565" w:rsidRDefault="0017725B" w:rsidP="00846D72">
            <w:pPr>
              <w:rPr>
                <w:bCs/>
                <w:sz w:val="20"/>
                <w:szCs w:val="20"/>
              </w:rPr>
            </w:pPr>
          </w:p>
          <w:p w14:paraId="62C08710" w14:textId="2FE7E952" w:rsidR="00696243" w:rsidRPr="00696243" w:rsidRDefault="002D5AA4" w:rsidP="00846D72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14:paraId="6D580E0E" w14:textId="77777777" w:rsidR="0017725B" w:rsidRPr="0017725B" w:rsidRDefault="0017725B" w:rsidP="00846D72">
            <w:pPr>
              <w:rPr>
                <w:b/>
                <w:u w:val="single"/>
              </w:rPr>
            </w:pPr>
          </w:p>
        </w:tc>
      </w:tr>
      <w:tr w:rsidR="00747AFD" w14:paraId="258559B5" w14:textId="77777777" w:rsidTr="00345119">
        <w:tc>
          <w:tcPr>
            <w:tcW w:w="9576" w:type="dxa"/>
          </w:tcPr>
          <w:p w14:paraId="7BF3D95A" w14:textId="77777777" w:rsidR="008423E4" w:rsidRPr="00A8133F" w:rsidRDefault="002D5AA4" w:rsidP="00846D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E6581E" w14:textId="77777777" w:rsidR="008423E4" w:rsidRPr="00E06565" w:rsidRDefault="008423E4" w:rsidP="00846D72">
            <w:pPr>
              <w:rPr>
                <w:sz w:val="20"/>
                <w:szCs w:val="20"/>
              </w:rPr>
            </w:pPr>
          </w:p>
          <w:p w14:paraId="29002790" w14:textId="77777777" w:rsidR="00F050EF" w:rsidRDefault="002D5AA4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</w:t>
            </w:r>
            <w:r>
              <w:t xml:space="preserve"> to the </w:t>
            </w:r>
            <w:r w:rsidR="00750CA0" w:rsidRPr="00750CA0">
              <w:t>Texas Commission on Law Enforcement</w:t>
            </w:r>
            <w:r w:rsidR="00EB24CF">
              <w:t xml:space="preserve"> </w:t>
            </w:r>
            <w:r>
              <w:t xml:space="preserve">in SECTION </w:t>
            </w:r>
            <w:r w:rsidR="00750CA0">
              <w:t xml:space="preserve">2 </w:t>
            </w:r>
            <w:r>
              <w:t>of this bill.</w:t>
            </w:r>
          </w:p>
          <w:p w14:paraId="6295BD20" w14:textId="5499BD4D" w:rsidR="00846D72" w:rsidRPr="00E21FDC" w:rsidRDefault="00846D72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47AFD" w14:paraId="77323123" w14:textId="77777777" w:rsidTr="00345119">
        <w:tc>
          <w:tcPr>
            <w:tcW w:w="9576" w:type="dxa"/>
          </w:tcPr>
          <w:p w14:paraId="1125B70D" w14:textId="05FA8B12" w:rsidR="008742F8" w:rsidRDefault="002D5AA4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7B5D726" w14:textId="77777777" w:rsidR="00846D72" w:rsidRPr="00E06565" w:rsidRDefault="00846D72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0"/>
                <w:szCs w:val="20"/>
              </w:rPr>
            </w:pPr>
          </w:p>
          <w:p w14:paraId="4DE77067" w14:textId="4BB8DC39" w:rsidR="006359EF" w:rsidRDefault="002D5AA4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359EF">
              <w:t>C.S.S.B. 267</w:t>
            </w:r>
            <w:r>
              <w:t xml:space="preserve"> amends the Occupations Code to require </w:t>
            </w:r>
            <w:r w:rsidRPr="006359EF">
              <w:t>the Texas Commission on Law Enforcement (TCOLE)</w:t>
            </w:r>
            <w:r w:rsidR="009736E8">
              <w:t>, n</w:t>
            </w:r>
            <w:r w:rsidR="009736E8" w:rsidRPr="009736E8">
              <w:t>ot later than December 1, 2023,</w:t>
            </w:r>
            <w:r>
              <w:t xml:space="preserve"> to adopt rules</w:t>
            </w:r>
            <w:r>
              <w:t xml:space="preserve"> requiring each </w:t>
            </w:r>
            <w:r w:rsidR="00CB7F4F">
              <w:t xml:space="preserve">applicable </w:t>
            </w:r>
            <w:r>
              <w:t xml:space="preserve">law enforcement agency </w:t>
            </w:r>
            <w:r w:rsidR="003967F9" w:rsidRPr="003967F9">
              <w:t>to become accredited and maintain accreditation</w:t>
            </w:r>
            <w:r w:rsidR="003967F9">
              <w:t xml:space="preserve"> through or by any of the following</w:t>
            </w:r>
            <w:r w:rsidR="003967F9" w:rsidRPr="003967F9">
              <w:t>:</w:t>
            </w:r>
          </w:p>
          <w:p w14:paraId="40A1C2DA" w14:textId="087077B2" w:rsidR="003967F9" w:rsidRDefault="002D5AA4" w:rsidP="00846D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the Texas Police Chiefs Association Law Enforcement Agency Best Practices Accreditation Program; </w:t>
            </w:r>
          </w:p>
          <w:p w14:paraId="18BD0E9F" w14:textId="1FC362FC" w:rsidR="003967F9" w:rsidRDefault="002D5AA4" w:rsidP="00846D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the Commission on Accred</w:t>
            </w:r>
            <w:r>
              <w:t>itation for Law Enforcement Agencies, Inc.;</w:t>
            </w:r>
          </w:p>
          <w:p w14:paraId="5A1DF993" w14:textId="77777777" w:rsidR="003967F9" w:rsidRDefault="002D5AA4" w:rsidP="00846D72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the International Association of Campus Law Enforcement Administrators; </w:t>
            </w:r>
          </w:p>
          <w:p w14:paraId="27E6B30B" w14:textId="234DDDD8" w:rsidR="003967F9" w:rsidRDefault="002D5AA4" w:rsidP="00846D72">
            <w:pPr>
              <w:pStyle w:val="Header"/>
              <w:numPr>
                <w:ilvl w:val="0"/>
                <w:numId w:val="6"/>
              </w:numPr>
              <w:jc w:val="both"/>
            </w:pPr>
            <w:r w:rsidRPr="003967F9">
              <w:t xml:space="preserve">an accreditation program developed by the Sheriffs' Association of Texas; </w:t>
            </w:r>
            <w:r>
              <w:t>or</w:t>
            </w:r>
          </w:p>
          <w:p w14:paraId="3BF62536" w14:textId="5BE03DAE" w:rsidR="006359EF" w:rsidRDefault="002D5AA4" w:rsidP="00846D7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an association or organization designated as an accrediting ag</w:t>
            </w:r>
            <w:r>
              <w:t>ency by TCOLE</w:t>
            </w:r>
            <w:r w:rsidR="00CB7F4F">
              <w:t xml:space="preserve"> as provided by the bill</w:t>
            </w:r>
            <w:r>
              <w:t>.</w:t>
            </w:r>
          </w:p>
          <w:p w14:paraId="0860692F" w14:textId="1567B102" w:rsidR="006359EF" w:rsidRDefault="002D5AA4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8742F8">
              <w:t>rules adopted must</w:t>
            </w:r>
            <w:r>
              <w:t xml:space="preserve"> require a law enforcement agency that is not already accredited to </w:t>
            </w:r>
            <w:r w:rsidRPr="003967F9">
              <w:t>execute a contract with an approved accrediting entity not later than September 1, 2027</w:t>
            </w:r>
            <w:r w:rsidR="00CB7F4F">
              <w:t>,</w:t>
            </w:r>
            <w:r w:rsidRPr="003967F9">
              <w:t xml:space="preserve"> and</w:t>
            </w:r>
            <w:r>
              <w:t xml:space="preserve"> </w:t>
            </w:r>
            <w:r w:rsidRPr="003967F9">
              <w:t>become accredited not later than S</w:t>
            </w:r>
            <w:r w:rsidRPr="003967F9">
              <w:t>eptember 1, 2029.</w:t>
            </w:r>
            <w:r>
              <w:t xml:space="preserve"> The bill requires TCOLE to </w:t>
            </w:r>
            <w:r w:rsidR="00AF77F6" w:rsidRPr="00AF77F6">
              <w:t xml:space="preserve">implement a program to assist law enforcement agencies in becoming accredited as required by the </w:t>
            </w:r>
            <w:r w:rsidR="008354A0">
              <w:t xml:space="preserve">adopted </w:t>
            </w:r>
            <w:r w:rsidR="00AF77F6" w:rsidRPr="00AF77F6">
              <w:t>rules</w:t>
            </w:r>
            <w:r w:rsidR="00AF77F6">
              <w:t>.</w:t>
            </w:r>
          </w:p>
          <w:p w14:paraId="22137F82" w14:textId="096DC0C7" w:rsidR="008742F8" w:rsidRDefault="002D5AA4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B62B0">
              <w:t>C.S.S.B.</w:t>
            </w:r>
            <w:r>
              <w:t xml:space="preserve"> </w:t>
            </w:r>
            <w:r w:rsidRPr="003B62B0">
              <w:t>267</w:t>
            </w:r>
            <w:r>
              <w:t xml:space="preserve"> </w:t>
            </w:r>
            <w:r w:rsidRPr="003B62B0">
              <w:t>requires TCOLE to periodically review associations and organizations that establish st</w:t>
            </w:r>
            <w:r w:rsidRPr="003B62B0">
              <w:t>andards of practice for law enforcement agencies and that offer accreditation to agencies that meet those standards</w:t>
            </w:r>
            <w:r>
              <w:t>.</w:t>
            </w:r>
            <w:r w:rsidRPr="003B62B0">
              <w:t xml:space="preserve"> </w:t>
            </w:r>
            <w:r>
              <w:t>On</w:t>
            </w:r>
            <w:r w:rsidRPr="003B62B0">
              <w:t xml:space="preserve"> </w:t>
            </w:r>
            <w:r>
              <w:t xml:space="preserve">a majority vote of </w:t>
            </w:r>
            <w:r w:rsidRPr="003B62B0">
              <w:t xml:space="preserve">TCOLE that accreditation of law enforcement agencies in Texas by </w:t>
            </w:r>
            <w:r>
              <w:t>a given</w:t>
            </w:r>
            <w:r w:rsidRPr="003B62B0">
              <w:t xml:space="preserve"> association or organization would benefit pu</w:t>
            </w:r>
            <w:r w:rsidRPr="003B62B0">
              <w:t>blic safety</w:t>
            </w:r>
            <w:r>
              <w:t>, TCOLE may designate the association or organization as an accrediting entity</w:t>
            </w:r>
            <w:r w:rsidRPr="003B62B0">
              <w:t>.</w:t>
            </w:r>
            <w:r>
              <w:t xml:space="preserve"> </w:t>
            </w:r>
            <w:r w:rsidR="005F659B">
              <w:t>The bill</w:t>
            </w:r>
            <w:r>
              <w:t xml:space="preserve"> </w:t>
            </w:r>
            <w:r w:rsidR="00885722">
              <w:t>requires a law enforcement agency to report its accreditation status annually to TCOLE, including the applicable accrediting entity. The bill requires TCOLE to post on its website a list of all law enforcement agencies that are currently accredited or under contract with an accrediting entity.</w:t>
            </w:r>
          </w:p>
          <w:p w14:paraId="6D242F03" w14:textId="77777777" w:rsidR="008742F8" w:rsidRPr="00E06565" w:rsidRDefault="008742F8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</w:p>
          <w:p w14:paraId="13A44D7B" w14:textId="2360960F" w:rsidR="009E06A8" w:rsidRDefault="002D5AA4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938B0">
              <w:t>C.S.S.B. 267</w:t>
            </w:r>
            <w:r w:rsidR="00657734">
              <w:t xml:space="preserve"> </w:t>
            </w:r>
            <w:r w:rsidR="00E2169B">
              <w:t xml:space="preserve">amends the Government Code to </w:t>
            </w:r>
            <w:r w:rsidR="00FA7A5E">
              <w:t xml:space="preserve">require the </w:t>
            </w:r>
            <w:r w:rsidR="00630A9B">
              <w:t>comptroller</w:t>
            </w:r>
            <w:r w:rsidR="00885722">
              <w:t xml:space="preserve"> of public accounts</w:t>
            </w:r>
            <w:r>
              <w:t>, n</w:t>
            </w:r>
            <w:r w:rsidRPr="009E06A8">
              <w:t>ot later than January</w:t>
            </w:r>
            <w:r w:rsidRPr="009E06A8">
              <w:t xml:space="preserve"> 1, 2024,</w:t>
            </w:r>
            <w:r w:rsidR="00FA7A5E">
              <w:t xml:space="preserve"> to </w:t>
            </w:r>
            <w:r w:rsidR="00FA7A5E" w:rsidRPr="00FA7A5E">
              <w:t>establish and administer a grant program</w:t>
            </w:r>
            <w:r w:rsidR="00BB3C1C" w:rsidRPr="00BB3C1C">
              <w:t xml:space="preserve"> </w:t>
            </w:r>
            <w:r w:rsidR="00885722">
              <w:t>to</w:t>
            </w:r>
            <w:r w:rsidR="00BB3C1C">
              <w:t xml:space="preserve"> </w:t>
            </w:r>
            <w:r w:rsidR="00FA7A5E" w:rsidRPr="00FA7A5E">
              <w:t>provid</w:t>
            </w:r>
            <w:r w:rsidR="00885722">
              <w:t>e</w:t>
            </w:r>
            <w:r w:rsidR="00FA7A5E" w:rsidRPr="00FA7A5E">
              <w:t xml:space="preserve"> financial assistance to </w:t>
            </w:r>
            <w:r w:rsidR="00885722">
              <w:t xml:space="preserve">each </w:t>
            </w:r>
            <w:r w:rsidR="00FA7A5E" w:rsidRPr="00FA7A5E">
              <w:t>law enforcement agenc</w:t>
            </w:r>
            <w:r w:rsidR="00885722">
              <w:t>y</w:t>
            </w:r>
            <w:r w:rsidR="00630A9B">
              <w:t xml:space="preserve"> that employ</w:t>
            </w:r>
            <w:r w:rsidR="00AF77F6">
              <w:t xml:space="preserve">s fewer than 250 peace officers </w:t>
            </w:r>
            <w:r w:rsidR="00885722">
              <w:t>f</w:t>
            </w:r>
            <w:r w:rsidR="00FA7A5E" w:rsidRPr="00FA7A5E">
              <w:t xml:space="preserve">or </w:t>
            </w:r>
            <w:r w:rsidR="00E94842">
              <w:t xml:space="preserve">purposes of </w:t>
            </w:r>
            <w:r w:rsidR="00E94842" w:rsidRPr="00E94842">
              <w:t>becoming accredited</w:t>
            </w:r>
            <w:r w:rsidR="00885722">
              <w:t xml:space="preserve"> as required by the rules adopted by TCOLE</w:t>
            </w:r>
            <w:r w:rsidR="00AF77F6">
              <w:t xml:space="preserve">. The bill requires </w:t>
            </w:r>
            <w:r w:rsidR="00554569">
              <w:t xml:space="preserve">a law </w:t>
            </w:r>
            <w:r w:rsidR="005F659B">
              <w:t>enforcement</w:t>
            </w:r>
            <w:r w:rsidR="00AF77F6">
              <w:t xml:space="preserve"> agency to execute a contract with an accrediting entity and complete an initial assessment by th</w:t>
            </w:r>
            <w:r w:rsidR="00FE4BA6">
              <w:t>e</w:t>
            </w:r>
            <w:r w:rsidR="00465AF8">
              <w:t xml:space="preserve"> accrediting entity </w:t>
            </w:r>
            <w:r w:rsidR="00FE4BA6">
              <w:t xml:space="preserve">to be eligible to receive a grant. The bill authorizes </w:t>
            </w:r>
            <w:r w:rsidR="00FE4BA6" w:rsidRPr="00FE4BA6">
              <w:t>the agency</w:t>
            </w:r>
            <w:r w:rsidR="00FE4BA6">
              <w:t xml:space="preserve">, </w:t>
            </w:r>
            <w:r w:rsidR="00FE4BA6" w:rsidRPr="00FE4BA6">
              <w:t>based on the results of that assessment</w:t>
            </w:r>
            <w:r w:rsidR="00FE4BA6">
              <w:t xml:space="preserve">, </w:t>
            </w:r>
            <w:r w:rsidR="00465AF8">
              <w:t>to request grant funds for reimbursement of an accreditation fee, staff overtime, or temporary staffing necessary to become accredited.</w:t>
            </w:r>
            <w:r w:rsidR="005F659B">
              <w:t xml:space="preserve"> The bill authorizes the comptroller to use any revenue available for purposes of the grant program.</w:t>
            </w:r>
          </w:p>
          <w:p w14:paraId="59B8AA12" w14:textId="1C615965" w:rsidR="00A6016C" w:rsidRPr="00E06565" w:rsidRDefault="00A6016C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</w:p>
          <w:p w14:paraId="4310DEB7" w14:textId="2839C6E8" w:rsidR="00554569" w:rsidRDefault="002D5AA4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938B0">
              <w:t>C.S.S.B. 267</w:t>
            </w:r>
            <w:r w:rsidR="00A6016C" w:rsidRPr="00A6016C">
              <w:t xml:space="preserve"> caps the amount of a grant at $</w:t>
            </w:r>
            <w:r w:rsidR="00B8413F">
              <w:t>30,000</w:t>
            </w:r>
            <w:r w:rsidR="00A6016C" w:rsidRPr="00A6016C">
              <w:t xml:space="preserve"> and </w:t>
            </w:r>
            <w:r>
              <w:t>restricts the use of grant money</w:t>
            </w:r>
            <w:r w:rsidRPr="00A6016C">
              <w:t xml:space="preserve"> </w:t>
            </w:r>
            <w:r>
              <w:t>received</w:t>
            </w:r>
            <w:r w:rsidR="008354A0">
              <w:t xml:space="preserve"> by a</w:t>
            </w:r>
            <w:r w:rsidR="002B1B28">
              <w:t xml:space="preserve"> law enforcement</w:t>
            </w:r>
            <w:r w:rsidR="008354A0">
              <w:t xml:space="preserve"> agency</w:t>
            </w:r>
            <w:r w:rsidR="00B8413F" w:rsidRPr="00A6016C">
              <w:t xml:space="preserve"> </w:t>
            </w:r>
            <w:r w:rsidR="00A6016C" w:rsidRPr="00A6016C">
              <w:t xml:space="preserve">to </w:t>
            </w:r>
            <w:r w:rsidR="00CA51FA">
              <w:t xml:space="preserve">purposes of </w:t>
            </w:r>
            <w:r w:rsidR="00B8413F">
              <w:t>becoming accredited</w:t>
            </w:r>
            <w:r w:rsidR="002B1B28">
              <w:t xml:space="preserve"> and</w:t>
            </w:r>
            <w:r w:rsidR="00A6016C" w:rsidRPr="00A6016C">
              <w:t xml:space="preserve"> </w:t>
            </w:r>
            <w:r w:rsidR="00B8413F">
              <w:t xml:space="preserve">prohibits </w:t>
            </w:r>
            <w:r>
              <w:t>a</w:t>
            </w:r>
            <w:r w:rsidR="002B1B28">
              <w:t xml:space="preserve">n </w:t>
            </w:r>
            <w:r w:rsidR="00B8413F">
              <w:t xml:space="preserve">agency from receiving more than one such grant. </w:t>
            </w:r>
            <w:r w:rsidR="00021C2A">
              <w:t xml:space="preserve">The bill </w:t>
            </w:r>
            <w:r w:rsidR="00A6016C" w:rsidRPr="00A6016C">
              <w:t xml:space="preserve">requires the </w:t>
            </w:r>
            <w:r w:rsidR="00021C2A">
              <w:t>comptroller</w:t>
            </w:r>
            <w:r w:rsidR="00021C2A" w:rsidRPr="00A6016C">
              <w:t xml:space="preserve"> </w:t>
            </w:r>
            <w:r w:rsidR="00A6016C" w:rsidRPr="00A6016C">
              <w:t xml:space="preserve">to establish </w:t>
            </w:r>
            <w:r>
              <w:t xml:space="preserve">the </w:t>
            </w:r>
            <w:r>
              <w:t>following:</w:t>
            </w:r>
          </w:p>
          <w:p w14:paraId="09FD192A" w14:textId="4B907079" w:rsidR="00554569" w:rsidRDefault="002D5AA4" w:rsidP="00846D7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 w:rsidRPr="00A6016C">
              <w:t>eligibility criteria for grant applicants</w:t>
            </w:r>
            <w:r>
              <w:t>;</w:t>
            </w:r>
            <w:r w:rsidRPr="00A6016C">
              <w:t xml:space="preserve"> </w:t>
            </w:r>
          </w:p>
          <w:p w14:paraId="2B3FE422" w14:textId="0E5423C3" w:rsidR="002B1B28" w:rsidRDefault="002D5AA4" w:rsidP="00846D7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grant application procedures;</w:t>
            </w:r>
          </w:p>
          <w:p w14:paraId="17FF2B8A" w14:textId="7F37A2A7" w:rsidR="00554569" w:rsidRDefault="002D5AA4" w:rsidP="00846D7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 w:rsidRPr="00A6016C">
              <w:t>guidelines relating to grant amounts</w:t>
            </w:r>
            <w:r>
              <w:t>;</w:t>
            </w:r>
            <w:r w:rsidRPr="00A6016C">
              <w:t xml:space="preserve"> </w:t>
            </w:r>
          </w:p>
          <w:p w14:paraId="2B6D8259" w14:textId="39C00161" w:rsidR="00554569" w:rsidRDefault="002D5AA4" w:rsidP="00846D7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procedures for evaluating </w:t>
            </w:r>
            <w:r w:rsidRPr="00704132">
              <w:t>grant applications</w:t>
            </w:r>
            <w:r>
              <w:t xml:space="preserve">, </w:t>
            </w:r>
            <w:r w:rsidRPr="00254E4A">
              <w:t>including prioritizing applications from law enforcement agencies employing fewer than</w:t>
            </w:r>
            <w:r w:rsidRPr="00254E4A">
              <w:t xml:space="preserve"> 100 peace officers</w:t>
            </w:r>
            <w:r>
              <w:t xml:space="preserve">; </w:t>
            </w:r>
          </w:p>
          <w:p w14:paraId="69EB7F56" w14:textId="1601AE06" w:rsidR="00554569" w:rsidRDefault="002D5AA4" w:rsidP="00846D7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procedures for monitoring the use of a</w:t>
            </w:r>
            <w:r w:rsidR="006A04F0">
              <w:t>n awarded</w:t>
            </w:r>
            <w:r>
              <w:t xml:space="preserve"> grant and ensuring compliance with any conditions of the grant; </w:t>
            </w:r>
            <w:r w:rsidRPr="00704132">
              <w:t xml:space="preserve">and </w:t>
            </w:r>
          </w:p>
          <w:p w14:paraId="7891B299" w14:textId="19EA250D" w:rsidR="00554569" w:rsidRDefault="002D5AA4" w:rsidP="00846D7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procedures </w:t>
            </w:r>
            <w:r w:rsidRPr="00704132">
              <w:t>for the revocation of an awarded grant</w:t>
            </w:r>
            <w:r>
              <w:t xml:space="preserve"> if accreditation is not achieved within the period specified by the</w:t>
            </w:r>
            <w:r>
              <w:t xml:space="preserve"> rules adopted by TCOLE</w:t>
            </w:r>
            <w:r w:rsidRPr="00704132">
              <w:t>.</w:t>
            </w:r>
          </w:p>
          <w:p w14:paraId="49704980" w14:textId="73C08518" w:rsidR="00ED03F9" w:rsidRPr="00E06565" w:rsidRDefault="00ED03F9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</w:p>
          <w:p w14:paraId="560E44C9" w14:textId="1C0A3734" w:rsidR="00B609BA" w:rsidRDefault="002D5AA4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938B0">
              <w:t>C.S.S.B. 267</w:t>
            </w:r>
            <w:r>
              <w:t xml:space="preserve"> requires the </w:t>
            </w:r>
            <w:r w:rsidR="00554569">
              <w:t xml:space="preserve">comptroller </w:t>
            </w:r>
            <w:r>
              <w:t xml:space="preserve">to </w:t>
            </w:r>
            <w:r w:rsidRPr="00696243">
              <w:t>submit a report to the Legislative Budget Board</w:t>
            </w:r>
            <w:r w:rsidR="00960F0C">
              <w:t>,</w:t>
            </w:r>
            <w:r>
              <w:t xml:space="preserve"> not </w:t>
            </w:r>
            <w:r w:rsidRPr="00696243">
              <w:t>later than December 1 of each year</w:t>
            </w:r>
            <w:r w:rsidR="00960F0C">
              <w:t>,</w:t>
            </w:r>
            <w:r>
              <w:t xml:space="preserve"> </w:t>
            </w:r>
            <w:r w:rsidRPr="00696243">
              <w:t>that provides</w:t>
            </w:r>
            <w:r>
              <w:t xml:space="preserve"> for the preceding state fiscal year</w:t>
            </w:r>
            <w:r w:rsidRPr="00696243">
              <w:t xml:space="preserve"> the name of each law enforcement agency that applied for a grant</w:t>
            </w:r>
            <w:r>
              <w:t xml:space="preserve"> and </w:t>
            </w:r>
            <w:r w:rsidRPr="00696243">
              <w:t>the amount of money distributed to each</w:t>
            </w:r>
            <w:r>
              <w:t xml:space="preserve"> agency that received a grant. </w:t>
            </w:r>
            <w:r w:rsidR="005F659B">
              <w:t xml:space="preserve">The bill, beginning September 1, 2029, conditions the eligibility of a law enforcement agency to receive any grant supporting </w:t>
            </w:r>
            <w:r w:rsidR="005F659B" w:rsidRPr="005F659B">
              <w:t>law enforcement operations or equipment acquisition administered by the comptroller</w:t>
            </w:r>
            <w:r w:rsidR="005F659B">
              <w:t>,</w:t>
            </w:r>
            <w:r w:rsidR="005F659B" w:rsidRPr="005F659B">
              <w:t xml:space="preserve"> other than a grant under</w:t>
            </w:r>
            <w:r w:rsidR="005F659B">
              <w:t xml:space="preserve"> the bill, on the agency being accredited as provided by the rules adopted by TCOLE.</w:t>
            </w:r>
          </w:p>
          <w:p w14:paraId="0248B47C" w14:textId="77777777" w:rsidR="00F5727C" w:rsidRPr="00E06565" w:rsidRDefault="00F5727C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</w:p>
          <w:p w14:paraId="045AB75D" w14:textId="2C415ECA" w:rsidR="00F5727C" w:rsidRDefault="002D5AA4" w:rsidP="00846D72">
            <w:pPr>
              <w:jc w:val="both"/>
            </w:pPr>
            <w:r>
              <w:t xml:space="preserve">The law enforcement agencies to which </w:t>
            </w:r>
            <w:r w:rsidR="009938B0" w:rsidRPr="009938B0">
              <w:t>C.S.S.B. 267</w:t>
            </w:r>
            <w:r>
              <w:t xml:space="preserve"> applies are </w:t>
            </w:r>
            <w:r w:rsidR="005F659B">
              <w:t xml:space="preserve">school district police departments and </w:t>
            </w:r>
            <w:r>
              <w:t xml:space="preserve">any </w:t>
            </w:r>
            <w:r w:rsidRPr="00F5727C">
              <w:t>law enforcement agenc</w:t>
            </w:r>
            <w:r>
              <w:t>y</w:t>
            </w:r>
            <w:r w:rsidRPr="00F5727C">
              <w:t xml:space="preserve"> employing </w:t>
            </w:r>
            <w:r w:rsidR="005F659B">
              <w:t xml:space="preserve">at least 20 </w:t>
            </w:r>
            <w:r>
              <w:t xml:space="preserve">of the following </w:t>
            </w:r>
            <w:r w:rsidRPr="00F5727C">
              <w:t>peace officers</w:t>
            </w:r>
            <w:r w:rsidR="005F659B">
              <w:t xml:space="preserve"> to a</w:t>
            </w:r>
            <w:r w:rsidR="005F659B" w:rsidRPr="005F659B">
              <w:t>nswer emergency calls for service or conduct patrol operations, traffic enforcement, or criminal investigations</w:t>
            </w:r>
            <w:r>
              <w:t>:</w:t>
            </w:r>
          </w:p>
          <w:p w14:paraId="425D0234" w14:textId="55FE5981" w:rsidR="00F5727C" w:rsidRDefault="002D5AA4" w:rsidP="00846D72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 w:rsidRPr="00F5727C">
              <w:t>sheriffs, their deputies, and those reserve deputies who hold a permanent peace officer license</w:t>
            </w:r>
            <w:r>
              <w:t>;</w:t>
            </w:r>
          </w:p>
          <w:p w14:paraId="382E677B" w14:textId="0F557BB0" w:rsidR="00F5727C" w:rsidRDefault="002D5AA4" w:rsidP="00846D72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 w:rsidRPr="00F5727C">
              <w:t xml:space="preserve">marshals or police officers of an incorporated city, town, or village, and those reserve municipal police officers </w:t>
            </w:r>
            <w:r w:rsidRPr="00F5727C">
              <w:t>who hold a permanent peace officer license</w:t>
            </w:r>
            <w:r>
              <w:t>;</w:t>
            </w:r>
          </w:p>
          <w:p w14:paraId="5D76B6DF" w14:textId="18DB5351" w:rsidR="00F5727C" w:rsidRDefault="002D5AA4" w:rsidP="00846D72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 w:rsidRPr="00F5727C">
              <w:t xml:space="preserve">rangers, officers, and members of the reserve officer corps commissioned by the Public Safety Commission and the </w:t>
            </w:r>
            <w:r>
              <w:t>public safety d</w:t>
            </w:r>
            <w:r w:rsidRPr="00F5727C">
              <w:t>irector of the Department of Public Safety</w:t>
            </w:r>
            <w:r>
              <w:t>;</w:t>
            </w:r>
          </w:p>
          <w:p w14:paraId="49BF3227" w14:textId="19BC81FB" w:rsidR="00B609BA" w:rsidRDefault="002D5AA4" w:rsidP="00846D72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officers commissioned as public school d</w:t>
            </w:r>
            <w:r>
              <w:t>istrict peace officers, school resource officers, or security personnel;</w:t>
            </w:r>
          </w:p>
          <w:p w14:paraId="680CE135" w14:textId="77777777" w:rsidR="001E08F8" w:rsidRDefault="002D5AA4" w:rsidP="00846D72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officers commissioned as higher education campus peace officers; or</w:t>
            </w:r>
          </w:p>
          <w:p w14:paraId="5ED2CB51" w14:textId="77777777" w:rsidR="008423E4" w:rsidRPr="00846D72" w:rsidRDefault="002D5AA4" w:rsidP="00846D72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b/>
              </w:rPr>
            </w:pPr>
            <w:r w:rsidRPr="001E08F8">
              <w:t>law enforcement officers commissioned by the Parks and Wildlife Commission</w:t>
            </w:r>
            <w:r w:rsidR="00B609BA">
              <w:t>.</w:t>
            </w:r>
          </w:p>
          <w:p w14:paraId="79597032" w14:textId="160BD40E" w:rsidR="00846D72" w:rsidRPr="00846D72" w:rsidRDefault="00846D72" w:rsidP="00846D72">
            <w:pPr>
              <w:jc w:val="both"/>
              <w:rPr>
                <w:b/>
              </w:rPr>
            </w:pPr>
          </w:p>
        </w:tc>
      </w:tr>
      <w:tr w:rsidR="00747AFD" w14:paraId="6CD5E5D7" w14:textId="77777777" w:rsidTr="00345119">
        <w:tc>
          <w:tcPr>
            <w:tcW w:w="9576" w:type="dxa"/>
          </w:tcPr>
          <w:p w14:paraId="5B93F909" w14:textId="77777777" w:rsidR="008423E4" w:rsidRPr="00A8133F" w:rsidRDefault="002D5AA4" w:rsidP="00846D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C5A8B5" w14:textId="77777777" w:rsidR="008423E4" w:rsidRPr="00E06565" w:rsidRDefault="008423E4" w:rsidP="00846D72">
            <w:pPr>
              <w:rPr>
                <w:sz w:val="20"/>
                <w:szCs w:val="20"/>
              </w:rPr>
            </w:pPr>
          </w:p>
          <w:p w14:paraId="77E60ACE" w14:textId="3AF57E5D" w:rsidR="008423E4" w:rsidRPr="003624F2" w:rsidRDefault="002D5AA4" w:rsidP="00846D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</w:t>
            </w:r>
            <w:r>
              <w:t>he bill does not receive the necessary vote, September 1, 2023.</w:t>
            </w:r>
          </w:p>
          <w:p w14:paraId="4F3985FC" w14:textId="77777777" w:rsidR="008423E4" w:rsidRPr="00233FDB" w:rsidRDefault="008423E4" w:rsidP="00846D72">
            <w:pPr>
              <w:rPr>
                <w:b/>
              </w:rPr>
            </w:pPr>
          </w:p>
        </w:tc>
      </w:tr>
      <w:tr w:rsidR="00747AFD" w14:paraId="7FEE9505" w14:textId="77777777" w:rsidTr="00345119">
        <w:tc>
          <w:tcPr>
            <w:tcW w:w="9576" w:type="dxa"/>
          </w:tcPr>
          <w:p w14:paraId="69846843" w14:textId="77777777" w:rsidR="005D7BA9" w:rsidRDefault="002D5AA4" w:rsidP="00846D7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2488757D" w14:textId="77777777" w:rsidR="009E3F71" w:rsidRPr="00E06565" w:rsidRDefault="009E3F71" w:rsidP="00846D72">
            <w:pPr>
              <w:jc w:val="both"/>
              <w:rPr>
                <w:sz w:val="20"/>
                <w:szCs w:val="20"/>
              </w:rPr>
            </w:pPr>
          </w:p>
          <w:p w14:paraId="5C77BAD6" w14:textId="4BC7C9F2" w:rsidR="009E3F71" w:rsidRDefault="002D5AA4" w:rsidP="00846D72">
            <w:pPr>
              <w:jc w:val="both"/>
            </w:pPr>
            <w:r>
              <w:t>While C.S.S.B. 267 may differ from the engrossed in minor or nonsubstantive</w:t>
            </w:r>
            <w:r>
              <w:t xml:space="preserve"> ways, the following summarizes the substantial differences between the engrossed and committee substitute versions of the bill.</w:t>
            </w:r>
          </w:p>
          <w:p w14:paraId="6CB76B9F" w14:textId="77777777" w:rsidR="009E3F71" w:rsidRPr="00E06565" w:rsidRDefault="009E3F71" w:rsidP="00846D72">
            <w:pPr>
              <w:jc w:val="both"/>
              <w:rPr>
                <w:sz w:val="20"/>
                <w:szCs w:val="20"/>
              </w:rPr>
            </w:pPr>
          </w:p>
          <w:p w14:paraId="498EC7AB" w14:textId="354EE394" w:rsidR="005D7BA9" w:rsidRDefault="002D5AA4" w:rsidP="00846D72">
            <w:pPr>
              <w:jc w:val="both"/>
            </w:pPr>
            <w:r>
              <w:t xml:space="preserve">The substitute </w:t>
            </w:r>
            <w:r w:rsidR="0060651E">
              <w:t xml:space="preserve">expands the </w:t>
            </w:r>
            <w:r w:rsidR="006446C6">
              <w:t xml:space="preserve">law enforcement </w:t>
            </w:r>
            <w:r w:rsidR="0060651E">
              <w:t xml:space="preserve">agencies </w:t>
            </w:r>
            <w:r w:rsidR="006446C6">
              <w:t xml:space="preserve">to which the bill's provisions apply to </w:t>
            </w:r>
            <w:r>
              <w:t>include a school district police d</w:t>
            </w:r>
            <w:r>
              <w:t>epartment</w:t>
            </w:r>
            <w:r w:rsidR="006446C6">
              <w:t xml:space="preserve">, irrespective of the number of officers employed by the department, whereas the engrossed </w:t>
            </w:r>
            <w:r w:rsidR="00336207">
              <w:t>version's</w:t>
            </w:r>
            <w:r w:rsidR="006446C6">
              <w:t xml:space="preserve"> provisions applied only to agencies that employ at least 20 qualifying peace officers.</w:t>
            </w:r>
            <w:r>
              <w:t xml:space="preserve"> </w:t>
            </w:r>
          </w:p>
          <w:p w14:paraId="763C3C9F" w14:textId="165B59C0" w:rsidR="009E3F71" w:rsidRPr="009E3F71" w:rsidRDefault="009E3F71" w:rsidP="00846D72">
            <w:pPr>
              <w:jc w:val="both"/>
            </w:pPr>
          </w:p>
        </w:tc>
      </w:tr>
      <w:tr w:rsidR="00747AFD" w14:paraId="3C27DFA8" w14:textId="77777777" w:rsidTr="00345119">
        <w:tc>
          <w:tcPr>
            <w:tcW w:w="9576" w:type="dxa"/>
          </w:tcPr>
          <w:p w14:paraId="3C6CFCB7" w14:textId="77777777" w:rsidR="005D7BA9" w:rsidRPr="009C1E9A" w:rsidRDefault="005D7BA9" w:rsidP="00846D72">
            <w:pPr>
              <w:rPr>
                <w:b/>
                <w:u w:val="single"/>
              </w:rPr>
            </w:pPr>
          </w:p>
        </w:tc>
      </w:tr>
      <w:tr w:rsidR="00747AFD" w14:paraId="1BEA2B4C" w14:textId="77777777" w:rsidTr="00345119">
        <w:tc>
          <w:tcPr>
            <w:tcW w:w="9576" w:type="dxa"/>
          </w:tcPr>
          <w:p w14:paraId="2982D9CC" w14:textId="77777777" w:rsidR="005D7BA9" w:rsidRPr="005D7BA9" w:rsidRDefault="005D7BA9" w:rsidP="00846D72">
            <w:pPr>
              <w:jc w:val="both"/>
            </w:pPr>
          </w:p>
        </w:tc>
      </w:tr>
    </w:tbl>
    <w:p w14:paraId="6A4DA811" w14:textId="13AF94DB" w:rsidR="004108C3" w:rsidRPr="008423E4" w:rsidRDefault="004108C3" w:rsidP="00846D7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FF73" w14:textId="77777777" w:rsidR="00000000" w:rsidRDefault="002D5AA4">
      <w:r>
        <w:separator/>
      </w:r>
    </w:p>
  </w:endnote>
  <w:endnote w:type="continuationSeparator" w:id="0">
    <w:p w14:paraId="59EAE83C" w14:textId="77777777" w:rsidR="00000000" w:rsidRDefault="002D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43F1" w14:textId="77777777" w:rsidR="003520E0" w:rsidRDefault="00352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7AFD" w14:paraId="4A916E2D" w14:textId="77777777" w:rsidTr="009C1E9A">
      <w:trPr>
        <w:cantSplit/>
      </w:trPr>
      <w:tc>
        <w:tcPr>
          <w:tcW w:w="0" w:type="pct"/>
        </w:tcPr>
        <w:p w14:paraId="215C99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8303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21EB9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5926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2215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7AFD" w14:paraId="5FA6986B" w14:textId="77777777" w:rsidTr="009C1E9A">
      <w:trPr>
        <w:cantSplit/>
      </w:trPr>
      <w:tc>
        <w:tcPr>
          <w:tcW w:w="0" w:type="pct"/>
        </w:tcPr>
        <w:p w14:paraId="483C90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7AF55C" w14:textId="542E173F" w:rsidR="00EC379B" w:rsidRPr="009C1E9A" w:rsidRDefault="002D5A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27467-D</w:t>
          </w:r>
        </w:p>
      </w:tc>
      <w:tc>
        <w:tcPr>
          <w:tcW w:w="2453" w:type="pct"/>
        </w:tcPr>
        <w:p w14:paraId="46239F64" w14:textId="34478F8A" w:rsidR="00EC379B" w:rsidRDefault="002D5A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46D72">
            <w:t>23.121.1936</w:t>
          </w:r>
          <w:r>
            <w:fldChar w:fldCharType="end"/>
          </w:r>
        </w:p>
      </w:tc>
    </w:tr>
    <w:tr w:rsidR="00747AFD" w14:paraId="754EB8D2" w14:textId="77777777" w:rsidTr="009C1E9A">
      <w:trPr>
        <w:cantSplit/>
      </w:trPr>
      <w:tc>
        <w:tcPr>
          <w:tcW w:w="0" w:type="pct"/>
        </w:tcPr>
        <w:p w14:paraId="1532199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E0C6BBB" w14:textId="5825F968" w:rsidR="00EC379B" w:rsidRPr="009C1E9A" w:rsidRDefault="002D5A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23412</w:t>
          </w:r>
        </w:p>
      </w:tc>
      <w:tc>
        <w:tcPr>
          <w:tcW w:w="2453" w:type="pct"/>
        </w:tcPr>
        <w:p w14:paraId="7D8DAF6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8F3E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7AFD" w14:paraId="2BABB6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8154BC5" w14:textId="39918F2B" w:rsidR="00EC379B" w:rsidRDefault="002D5A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659E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408AB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8C814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9B0A" w14:textId="77777777" w:rsidR="003520E0" w:rsidRDefault="00352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E38E" w14:textId="77777777" w:rsidR="00000000" w:rsidRDefault="002D5AA4">
      <w:r>
        <w:separator/>
      </w:r>
    </w:p>
  </w:footnote>
  <w:footnote w:type="continuationSeparator" w:id="0">
    <w:p w14:paraId="2137AF98" w14:textId="77777777" w:rsidR="00000000" w:rsidRDefault="002D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68A4" w14:textId="77777777" w:rsidR="003520E0" w:rsidRDefault="00352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265" w14:textId="77777777" w:rsidR="003520E0" w:rsidRDefault="00352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32C" w14:textId="77777777" w:rsidR="003520E0" w:rsidRDefault="00352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66E"/>
    <w:multiLevelType w:val="hybridMultilevel"/>
    <w:tmpl w:val="6284D3A2"/>
    <w:lvl w:ilvl="0" w:tplc="086EB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E3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A1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AF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2D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87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60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88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77D3"/>
    <w:multiLevelType w:val="hybridMultilevel"/>
    <w:tmpl w:val="4980246C"/>
    <w:lvl w:ilvl="0" w:tplc="C4047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B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EA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8C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4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0C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8B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05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07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5C7D"/>
    <w:multiLevelType w:val="hybridMultilevel"/>
    <w:tmpl w:val="F94221B2"/>
    <w:lvl w:ilvl="0" w:tplc="12E8C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22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0A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E0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C3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68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2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AC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C8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41C6"/>
    <w:multiLevelType w:val="hybridMultilevel"/>
    <w:tmpl w:val="29D89590"/>
    <w:lvl w:ilvl="0" w:tplc="E6584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C2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C8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46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C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2C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22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4E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A1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2B6C"/>
    <w:multiLevelType w:val="hybridMultilevel"/>
    <w:tmpl w:val="2A42AEAC"/>
    <w:lvl w:ilvl="0" w:tplc="EF7E7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67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84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4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65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EC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00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6C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01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55885"/>
    <w:multiLevelType w:val="hybridMultilevel"/>
    <w:tmpl w:val="6EA8C322"/>
    <w:lvl w:ilvl="0" w:tplc="7F487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21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63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8D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21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69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A0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2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0A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20321"/>
    <w:multiLevelType w:val="hybridMultilevel"/>
    <w:tmpl w:val="570AB0AE"/>
    <w:lvl w:ilvl="0" w:tplc="9EB89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43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03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01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48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A8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8F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C8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F41AA"/>
    <w:multiLevelType w:val="hybridMultilevel"/>
    <w:tmpl w:val="B0C06792"/>
    <w:lvl w:ilvl="0" w:tplc="4D0AD5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166688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F2CFD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9A2FBB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17E59B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BB45F6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C1283C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ACE975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268C57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09288557">
    <w:abstractNumId w:val="6"/>
  </w:num>
  <w:num w:numId="2" w16cid:durableId="93941640">
    <w:abstractNumId w:val="7"/>
  </w:num>
  <w:num w:numId="3" w16cid:durableId="1624311166">
    <w:abstractNumId w:val="1"/>
  </w:num>
  <w:num w:numId="4" w16cid:durableId="822888596">
    <w:abstractNumId w:val="5"/>
  </w:num>
  <w:num w:numId="5" w16cid:durableId="583225716">
    <w:abstractNumId w:val="0"/>
  </w:num>
  <w:num w:numId="6" w16cid:durableId="1359113722">
    <w:abstractNumId w:val="2"/>
  </w:num>
  <w:num w:numId="7" w16cid:durableId="1176380387">
    <w:abstractNumId w:val="3"/>
  </w:num>
  <w:num w:numId="8" w16cid:durableId="660431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9B"/>
    <w:rsid w:val="00000A70"/>
    <w:rsid w:val="00000B5C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C2A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38A"/>
    <w:rsid w:val="00171BF2"/>
    <w:rsid w:val="0017347B"/>
    <w:rsid w:val="0017725B"/>
    <w:rsid w:val="0018050C"/>
    <w:rsid w:val="0018117F"/>
    <w:rsid w:val="001824ED"/>
    <w:rsid w:val="00183262"/>
    <w:rsid w:val="001836E3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641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34A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8F8"/>
    <w:rsid w:val="001E2CAD"/>
    <w:rsid w:val="001E34DB"/>
    <w:rsid w:val="001E37CD"/>
    <w:rsid w:val="001E4070"/>
    <w:rsid w:val="001E655E"/>
    <w:rsid w:val="001F165C"/>
    <w:rsid w:val="001F3CB8"/>
    <w:rsid w:val="001F6B91"/>
    <w:rsid w:val="001F703C"/>
    <w:rsid w:val="00200B9E"/>
    <w:rsid w:val="00200BF5"/>
    <w:rsid w:val="002010D1"/>
    <w:rsid w:val="00201338"/>
    <w:rsid w:val="00203D72"/>
    <w:rsid w:val="0020775D"/>
    <w:rsid w:val="002116DD"/>
    <w:rsid w:val="0021383D"/>
    <w:rsid w:val="00216BBA"/>
    <w:rsid w:val="00216E12"/>
    <w:rsid w:val="00217466"/>
    <w:rsid w:val="0021751D"/>
    <w:rsid w:val="00217C49"/>
    <w:rsid w:val="00221140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8B4"/>
    <w:rsid w:val="0024077A"/>
    <w:rsid w:val="00241EC1"/>
    <w:rsid w:val="002431DA"/>
    <w:rsid w:val="0024691D"/>
    <w:rsid w:val="00247D27"/>
    <w:rsid w:val="00250A50"/>
    <w:rsid w:val="00251ED5"/>
    <w:rsid w:val="00254E4A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B28"/>
    <w:rsid w:val="002B26DD"/>
    <w:rsid w:val="002B2870"/>
    <w:rsid w:val="002B391B"/>
    <w:rsid w:val="002B5895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5AA4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F5F"/>
    <w:rsid w:val="0031741B"/>
    <w:rsid w:val="003177E2"/>
    <w:rsid w:val="00321337"/>
    <w:rsid w:val="00321F2F"/>
    <w:rsid w:val="003237F6"/>
    <w:rsid w:val="00324077"/>
    <w:rsid w:val="0032453B"/>
    <w:rsid w:val="00324868"/>
    <w:rsid w:val="003305F5"/>
    <w:rsid w:val="00333930"/>
    <w:rsid w:val="00336207"/>
    <w:rsid w:val="00336BA4"/>
    <w:rsid w:val="00336C7A"/>
    <w:rsid w:val="00337392"/>
    <w:rsid w:val="00337659"/>
    <w:rsid w:val="003427C9"/>
    <w:rsid w:val="00343A92"/>
    <w:rsid w:val="00344530"/>
    <w:rsid w:val="003446DC"/>
    <w:rsid w:val="00346EBE"/>
    <w:rsid w:val="00347B4A"/>
    <w:rsid w:val="003500C3"/>
    <w:rsid w:val="003520E0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7F9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2B0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3E8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315"/>
    <w:rsid w:val="004166BB"/>
    <w:rsid w:val="004174CD"/>
    <w:rsid w:val="004241AA"/>
    <w:rsid w:val="0042422E"/>
    <w:rsid w:val="0043190E"/>
    <w:rsid w:val="004324E9"/>
    <w:rsid w:val="00434ED3"/>
    <w:rsid w:val="004350F3"/>
    <w:rsid w:val="00436980"/>
    <w:rsid w:val="00441016"/>
    <w:rsid w:val="00441F2F"/>
    <w:rsid w:val="0044228B"/>
    <w:rsid w:val="0044596C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AF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A17"/>
    <w:rsid w:val="004B138F"/>
    <w:rsid w:val="004B412A"/>
    <w:rsid w:val="004B576C"/>
    <w:rsid w:val="004B772A"/>
    <w:rsid w:val="004C302F"/>
    <w:rsid w:val="004C353E"/>
    <w:rsid w:val="004C4609"/>
    <w:rsid w:val="004C4B8A"/>
    <w:rsid w:val="004C52EF"/>
    <w:rsid w:val="004C5F34"/>
    <w:rsid w:val="004C600C"/>
    <w:rsid w:val="004C6F1F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5B3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AA2"/>
    <w:rsid w:val="00541B98"/>
    <w:rsid w:val="00543374"/>
    <w:rsid w:val="00545548"/>
    <w:rsid w:val="00546923"/>
    <w:rsid w:val="00551CA6"/>
    <w:rsid w:val="00554569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DB4"/>
    <w:rsid w:val="005878B7"/>
    <w:rsid w:val="005924FA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62D"/>
    <w:rsid w:val="005B3298"/>
    <w:rsid w:val="005B5516"/>
    <w:rsid w:val="005B5D2B"/>
    <w:rsid w:val="005C1496"/>
    <w:rsid w:val="005C17C5"/>
    <w:rsid w:val="005C2B21"/>
    <w:rsid w:val="005C2C00"/>
    <w:rsid w:val="005C3B80"/>
    <w:rsid w:val="005C4C6F"/>
    <w:rsid w:val="005C5127"/>
    <w:rsid w:val="005C7CCB"/>
    <w:rsid w:val="005D1444"/>
    <w:rsid w:val="005D48CC"/>
    <w:rsid w:val="005D4DAE"/>
    <w:rsid w:val="005D767D"/>
    <w:rsid w:val="005D7A30"/>
    <w:rsid w:val="005D7BA9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783"/>
    <w:rsid w:val="005F5FDF"/>
    <w:rsid w:val="005F659B"/>
    <w:rsid w:val="005F6960"/>
    <w:rsid w:val="005F7000"/>
    <w:rsid w:val="005F7AAA"/>
    <w:rsid w:val="006005EA"/>
    <w:rsid w:val="00600BAA"/>
    <w:rsid w:val="006012DA"/>
    <w:rsid w:val="00603B0F"/>
    <w:rsid w:val="006049F5"/>
    <w:rsid w:val="00605F7B"/>
    <w:rsid w:val="0060651E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0A9B"/>
    <w:rsid w:val="00631897"/>
    <w:rsid w:val="00632928"/>
    <w:rsid w:val="006330DA"/>
    <w:rsid w:val="00633262"/>
    <w:rsid w:val="00633460"/>
    <w:rsid w:val="006359EF"/>
    <w:rsid w:val="006402E7"/>
    <w:rsid w:val="00640CB6"/>
    <w:rsid w:val="00641B42"/>
    <w:rsid w:val="006446C6"/>
    <w:rsid w:val="00645750"/>
    <w:rsid w:val="0064667F"/>
    <w:rsid w:val="00650692"/>
    <w:rsid w:val="006508D3"/>
    <w:rsid w:val="00650AFA"/>
    <w:rsid w:val="00653872"/>
    <w:rsid w:val="00657734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65E"/>
    <w:rsid w:val="00695101"/>
    <w:rsid w:val="00695B9A"/>
    <w:rsid w:val="00696243"/>
    <w:rsid w:val="00696563"/>
    <w:rsid w:val="006979F8"/>
    <w:rsid w:val="006A049B"/>
    <w:rsid w:val="006A04F0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159"/>
    <w:rsid w:val="006E45B0"/>
    <w:rsid w:val="006E5692"/>
    <w:rsid w:val="006F365D"/>
    <w:rsid w:val="006F4BB0"/>
    <w:rsid w:val="0070004C"/>
    <w:rsid w:val="007031BD"/>
    <w:rsid w:val="00703E80"/>
    <w:rsid w:val="00704132"/>
    <w:rsid w:val="00705276"/>
    <w:rsid w:val="007066A0"/>
    <w:rsid w:val="007070FE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AFD"/>
    <w:rsid w:val="007509BE"/>
    <w:rsid w:val="00750CA0"/>
    <w:rsid w:val="0075287B"/>
    <w:rsid w:val="00755C7B"/>
    <w:rsid w:val="00762A7E"/>
    <w:rsid w:val="00764786"/>
    <w:rsid w:val="00766E12"/>
    <w:rsid w:val="00767AAE"/>
    <w:rsid w:val="0077098E"/>
    <w:rsid w:val="00771287"/>
    <w:rsid w:val="0077149E"/>
    <w:rsid w:val="00772670"/>
    <w:rsid w:val="00777518"/>
    <w:rsid w:val="0077779E"/>
    <w:rsid w:val="00780FB6"/>
    <w:rsid w:val="00781908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9E8"/>
    <w:rsid w:val="00815C9D"/>
    <w:rsid w:val="008170E2"/>
    <w:rsid w:val="00823E4C"/>
    <w:rsid w:val="00827749"/>
    <w:rsid w:val="00827B7E"/>
    <w:rsid w:val="00830EEB"/>
    <w:rsid w:val="008347A9"/>
    <w:rsid w:val="00834B60"/>
    <w:rsid w:val="008354A0"/>
    <w:rsid w:val="00835628"/>
    <w:rsid w:val="00835E90"/>
    <w:rsid w:val="0084076E"/>
    <w:rsid w:val="0084176D"/>
    <w:rsid w:val="008423E4"/>
    <w:rsid w:val="00842900"/>
    <w:rsid w:val="00846D7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2F8"/>
    <w:rsid w:val="00874C05"/>
    <w:rsid w:val="0087680A"/>
    <w:rsid w:val="008806EB"/>
    <w:rsid w:val="008826F2"/>
    <w:rsid w:val="008845BA"/>
    <w:rsid w:val="00885203"/>
    <w:rsid w:val="00885722"/>
    <w:rsid w:val="008859CA"/>
    <w:rsid w:val="008861EE"/>
    <w:rsid w:val="00890088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0820"/>
    <w:rsid w:val="008C132C"/>
    <w:rsid w:val="008C3FD0"/>
    <w:rsid w:val="008C58EB"/>
    <w:rsid w:val="008D27A5"/>
    <w:rsid w:val="008D2AAB"/>
    <w:rsid w:val="008D309C"/>
    <w:rsid w:val="008D58F9"/>
    <w:rsid w:val="008E3338"/>
    <w:rsid w:val="008E47BE"/>
    <w:rsid w:val="008E50CF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EF4"/>
    <w:rsid w:val="009418E9"/>
    <w:rsid w:val="00946044"/>
    <w:rsid w:val="009465AB"/>
    <w:rsid w:val="00946DEE"/>
    <w:rsid w:val="00953499"/>
    <w:rsid w:val="00954A16"/>
    <w:rsid w:val="0095696D"/>
    <w:rsid w:val="00957C05"/>
    <w:rsid w:val="00960F0C"/>
    <w:rsid w:val="0096482F"/>
    <w:rsid w:val="00964E3A"/>
    <w:rsid w:val="00965411"/>
    <w:rsid w:val="00967126"/>
    <w:rsid w:val="00970EAE"/>
    <w:rsid w:val="00971627"/>
    <w:rsid w:val="00972797"/>
    <w:rsid w:val="0097279D"/>
    <w:rsid w:val="009736E8"/>
    <w:rsid w:val="009736EC"/>
    <w:rsid w:val="00976837"/>
    <w:rsid w:val="00980311"/>
    <w:rsid w:val="0098170E"/>
    <w:rsid w:val="00981C8E"/>
    <w:rsid w:val="0098285C"/>
    <w:rsid w:val="00983B56"/>
    <w:rsid w:val="009847FD"/>
    <w:rsid w:val="009851B3"/>
    <w:rsid w:val="00985300"/>
    <w:rsid w:val="00986720"/>
    <w:rsid w:val="00987F00"/>
    <w:rsid w:val="009938B0"/>
    <w:rsid w:val="0099403D"/>
    <w:rsid w:val="009944EE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B7BC4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6A8"/>
    <w:rsid w:val="009E13BF"/>
    <w:rsid w:val="009E3631"/>
    <w:rsid w:val="009E3EB9"/>
    <w:rsid w:val="009E3F71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69B"/>
    <w:rsid w:val="00A32304"/>
    <w:rsid w:val="00A3420E"/>
    <w:rsid w:val="00A35D66"/>
    <w:rsid w:val="00A41085"/>
    <w:rsid w:val="00A41EA3"/>
    <w:rsid w:val="00A425FA"/>
    <w:rsid w:val="00A42F02"/>
    <w:rsid w:val="00A43960"/>
    <w:rsid w:val="00A447E9"/>
    <w:rsid w:val="00A46902"/>
    <w:rsid w:val="00A50CDB"/>
    <w:rsid w:val="00A51F3E"/>
    <w:rsid w:val="00A52F90"/>
    <w:rsid w:val="00A5364B"/>
    <w:rsid w:val="00A54142"/>
    <w:rsid w:val="00A54C42"/>
    <w:rsid w:val="00A572B1"/>
    <w:rsid w:val="00A577AF"/>
    <w:rsid w:val="00A57AFE"/>
    <w:rsid w:val="00A6016C"/>
    <w:rsid w:val="00A60177"/>
    <w:rsid w:val="00A61C27"/>
    <w:rsid w:val="00A6344D"/>
    <w:rsid w:val="00A644B8"/>
    <w:rsid w:val="00A65768"/>
    <w:rsid w:val="00A659E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859"/>
    <w:rsid w:val="00AA18AE"/>
    <w:rsid w:val="00AA228B"/>
    <w:rsid w:val="00AA263D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AAE"/>
    <w:rsid w:val="00AE4F1C"/>
    <w:rsid w:val="00AF1433"/>
    <w:rsid w:val="00AF48B4"/>
    <w:rsid w:val="00AF4923"/>
    <w:rsid w:val="00AF77F6"/>
    <w:rsid w:val="00AF7C74"/>
    <w:rsid w:val="00B000AF"/>
    <w:rsid w:val="00B04E79"/>
    <w:rsid w:val="00B05CA6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D6A"/>
    <w:rsid w:val="00B233BB"/>
    <w:rsid w:val="00B25612"/>
    <w:rsid w:val="00B26437"/>
    <w:rsid w:val="00B2678E"/>
    <w:rsid w:val="00B30647"/>
    <w:rsid w:val="00B31F0E"/>
    <w:rsid w:val="00B34F25"/>
    <w:rsid w:val="00B34FF1"/>
    <w:rsid w:val="00B43672"/>
    <w:rsid w:val="00B473D8"/>
    <w:rsid w:val="00B5165A"/>
    <w:rsid w:val="00B524C1"/>
    <w:rsid w:val="00B52C8D"/>
    <w:rsid w:val="00B564BF"/>
    <w:rsid w:val="00B609BA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13F"/>
    <w:rsid w:val="00B90097"/>
    <w:rsid w:val="00B90999"/>
    <w:rsid w:val="00B91AD7"/>
    <w:rsid w:val="00B92D23"/>
    <w:rsid w:val="00B95BC8"/>
    <w:rsid w:val="00B96E87"/>
    <w:rsid w:val="00BA146A"/>
    <w:rsid w:val="00BA32EE"/>
    <w:rsid w:val="00BA50F5"/>
    <w:rsid w:val="00BA78B0"/>
    <w:rsid w:val="00BB3C1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EF9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BC9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F33"/>
    <w:rsid w:val="00C72956"/>
    <w:rsid w:val="00C73045"/>
    <w:rsid w:val="00C73212"/>
    <w:rsid w:val="00C7354A"/>
    <w:rsid w:val="00C74379"/>
    <w:rsid w:val="00C74DD8"/>
    <w:rsid w:val="00C75C5E"/>
    <w:rsid w:val="00C7669F"/>
    <w:rsid w:val="00C76D5B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350"/>
    <w:rsid w:val="00CA02B0"/>
    <w:rsid w:val="00CA032E"/>
    <w:rsid w:val="00CA2182"/>
    <w:rsid w:val="00CA2186"/>
    <w:rsid w:val="00CA26EF"/>
    <w:rsid w:val="00CA3608"/>
    <w:rsid w:val="00CA4CA0"/>
    <w:rsid w:val="00CA51FA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B7F4F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591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E12"/>
    <w:rsid w:val="00D35728"/>
    <w:rsid w:val="00D37BCF"/>
    <w:rsid w:val="00D40F93"/>
    <w:rsid w:val="00D42277"/>
    <w:rsid w:val="00D43C59"/>
    <w:rsid w:val="00D44ADE"/>
    <w:rsid w:val="00D4589C"/>
    <w:rsid w:val="00D50D65"/>
    <w:rsid w:val="00D512E0"/>
    <w:rsid w:val="00D519F3"/>
    <w:rsid w:val="00D51D2A"/>
    <w:rsid w:val="00D53B7C"/>
    <w:rsid w:val="00D55F52"/>
    <w:rsid w:val="00D56508"/>
    <w:rsid w:val="00D575F4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6F47"/>
    <w:rsid w:val="00D77492"/>
    <w:rsid w:val="00D811E8"/>
    <w:rsid w:val="00D81A44"/>
    <w:rsid w:val="00D83072"/>
    <w:rsid w:val="00D83ABC"/>
    <w:rsid w:val="00D84870"/>
    <w:rsid w:val="00D91B92"/>
    <w:rsid w:val="00D91BBE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389"/>
    <w:rsid w:val="00DC3D8F"/>
    <w:rsid w:val="00DC42E8"/>
    <w:rsid w:val="00DC6DBB"/>
    <w:rsid w:val="00DC7761"/>
    <w:rsid w:val="00DD0022"/>
    <w:rsid w:val="00DD073C"/>
    <w:rsid w:val="00DD128C"/>
    <w:rsid w:val="00DD19F9"/>
    <w:rsid w:val="00DD1B8F"/>
    <w:rsid w:val="00DD5BCC"/>
    <w:rsid w:val="00DD7509"/>
    <w:rsid w:val="00DD79C7"/>
    <w:rsid w:val="00DD7D6E"/>
    <w:rsid w:val="00DE34B2"/>
    <w:rsid w:val="00DE4214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6EA"/>
    <w:rsid w:val="00E04B30"/>
    <w:rsid w:val="00E05FB7"/>
    <w:rsid w:val="00E06565"/>
    <w:rsid w:val="00E066E6"/>
    <w:rsid w:val="00E06807"/>
    <w:rsid w:val="00E06C5E"/>
    <w:rsid w:val="00E0752B"/>
    <w:rsid w:val="00E1228E"/>
    <w:rsid w:val="00E13374"/>
    <w:rsid w:val="00E14079"/>
    <w:rsid w:val="00E14246"/>
    <w:rsid w:val="00E149A9"/>
    <w:rsid w:val="00E15F90"/>
    <w:rsid w:val="00E16D3E"/>
    <w:rsid w:val="00E17167"/>
    <w:rsid w:val="00E20520"/>
    <w:rsid w:val="00E2169B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857"/>
    <w:rsid w:val="00E51446"/>
    <w:rsid w:val="00E529C8"/>
    <w:rsid w:val="00E55DA0"/>
    <w:rsid w:val="00E56033"/>
    <w:rsid w:val="00E61159"/>
    <w:rsid w:val="00E625DA"/>
    <w:rsid w:val="00E633D9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842"/>
    <w:rsid w:val="00E96061"/>
    <w:rsid w:val="00E96852"/>
    <w:rsid w:val="00EA16AC"/>
    <w:rsid w:val="00EA385A"/>
    <w:rsid w:val="00EA3931"/>
    <w:rsid w:val="00EA658E"/>
    <w:rsid w:val="00EA7A88"/>
    <w:rsid w:val="00EB24CF"/>
    <w:rsid w:val="00EB27F2"/>
    <w:rsid w:val="00EB3475"/>
    <w:rsid w:val="00EB3928"/>
    <w:rsid w:val="00EB5373"/>
    <w:rsid w:val="00EC02A2"/>
    <w:rsid w:val="00EC379B"/>
    <w:rsid w:val="00EC37DF"/>
    <w:rsid w:val="00EC41B1"/>
    <w:rsid w:val="00ED03F9"/>
    <w:rsid w:val="00ED0665"/>
    <w:rsid w:val="00ED12C0"/>
    <w:rsid w:val="00ED19F0"/>
    <w:rsid w:val="00ED2B50"/>
    <w:rsid w:val="00ED3A32"/>
    <w:rsid w:val="00ED3BDE"/>
    <w:rsid w:val="00ED68FB"/>
    <w:rsid w:val="00ED783A"/>
    <w:rsid w:val="00EE2A87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0EF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C76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27C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A5E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4BA6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207766-EC93-4063-A06A-B0E92198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23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2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23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234A"/>
    <w:rPr>
      <w:b/>
      <w:bCs/>
    </w:rPr>
  </w:style>
  <w:style w:type="paragraph" w:styleId="Revision">
    <w:name w:val="Revision"/>
    <w:hidden/>
    <w:uiPriority w:val="99"/>
    <w:semiHidden/>
    <w:rsid w:val="00000B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03F9"/>
    <w:pPr>
      <w:ind w:left="720"/>
      <w:contextualSpacing/>
    </w:pPr>
  </w:style>
  <w:style w:type="character" w:styleId="Hyperlink">
    <w:name w:val="Hyperlink"/>
    <w:basedOn w:val="DefaultParagraphFont"/>
    <w:unhideWhenUsed/>
    <w:rsid w:val="004459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6383</Characters>
  <Application>Microsoft Office Word</Application>
  <DocSecurity>4</DocSecurity>
  <Lines>129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SB00267 (Committee Report (Substituted))</vt:lpstr>
    </vt:vector>
  </TitlesOfParts>
  <Company>State of Texas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27467</dc:subject>
  <dc:creator>State of Texas</dc:creator>
  <dc:description>SB 267 by King-(H)Homeland Security &amp; Public Safety (Substitute Document Number: 88R 23412)</dc:description>
  <cp:lastModifiedBy>Stacey Nicchio</cp:lastModifiedBy>
  <cp:revision>2</cp:revision>
  <cp:lastPrinted>2003-11-26T17:21:00Z</cp:lastPrinted>
  <dcterms:created xsi:type="dcterms:W3CDTF">2023-05-04T23:52:00Z</dcterms:created>
  <dcterms:modified xsi:type="dcterms:W3CDTF">2023-05-04T23:52:00Z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23.121.1936</vt:lpwstr>
  </property>
</Properties>
</file>