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C1C19" w14:paraId="1D6401B2" w14:textId="77777777" w:rsidTr="00345119">
        <w:tc>
          <w:tcPr>
            <w:tcW w:w="9576" w:type="dxa"/>
            <w:noWrap/>
          </w:tcPr>
          <w:p w14:paraId="4F80DB25" w14:textId="77777777" w:rsidR="008423E4" w:rsidRPr="0022177D" w:rsidRDefault="008C48FF" w:rsidP="0016313B">
            <w:pPr>
              <w:pStyle w:val="Heading1"/>
            </w:pPr>
            <w:r w:rsidRPr="00631897">
              <w:t>BILL ANALYSIS</w:t>
            </w:r>
          </w:p>
        </w:tc>
      </w:tr>
    </w:tbl>
    <w:p w14:paraId="20A1C8AE" w14:textId="77777777" w:rsidR="008423E4" w:rsidRPr="0022177D" w:rsidRDefault="008423E4" w:rsidP="0016313B">
      <w:pPr>
        <w:jc w:val="center"/>
      </w:pPr>
    </w:p>
    <w:p w14:paraId="799C8BD5" w14:textId="77777777" w:rsidR="008423E4" w:rsidRPr="00B31F0E" w:rsidRDefault="008423E4" w:rsidP="0016313B"/>
    <w:p w14:paraId="05AD554E" w14:textId="77777777" w:rsidR="008423E4" w:rsidRPr="00742794" w:rsidRDefault="008423E4" w:rsidP="0016313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C1C19" w14:paraId="6ABDA3C8" w14:textId="77777777" w:rsidTr="00345119">
        <w:tc>
          <w:tcPr>
            <w:tcW w:w="9576" w:type="dxa"/>
          </w:tcPr>
          <w:p w14:paraId="65AE4C9A" w14:textId="2DC6B5D5" w:rsidR="008423E4" w:rsidRPr="00861995" w:rsidRDefault="008C48FF" w:rsidP="0016313B">
            <w:pPr>
              <w:jc w:val="right"/>
            </w:pPr>
            <w:r>
              <w:t>S.B. 379</w:t>
            </w:r>
          </w:p>
        </w:tc>
      </w:tr>
      <w:tr w:rsidR="000C1C19" w14:paraId="46C7A8C0" w14:textId="77777777" w:rsidTr="00345119">
        <w:tc>
          <w:tcPr>
            <w:tcW w:w="9576" w:type="dxa"/>
          </w:tcPr>
          <w:p w14:paraId="084128D2" w14:textId="380147A6" w:rsidR="008423E4" w:rsidRPr="00861995" w:rsidRDefault="008C48FF" w:rsidP="0016313B">
            <w:pPr>
              <w:jc w:val="right"/>
            </w:pPr>
            <w:r>
              <w:t xml:space="preserve">By: </w:t>
            </w:r>
            <w:r w:rsidR="00886D54">
              <w:t>Huffman</w:t>
            </w:r>
          </w:p>
        </w:tc>
      </w:tr>
      <w:tr w:rsidR="000C1C19" w14:paraId="792597D5" w14:textId="77777777" w:rsidTr="00345119">
        <w:tc>
          <w:tcPr>
            <w:tcW w:w="9576" w:type="dxa"/>
          </w:tcPr>
          <w:p w14:paraId="74A1AAE2" w14:textId="6A586CFA" w:rsidR="008423E4" w:rsidRPr="00861995" w:rsidRDefault="008C48FF" w:rsidP="0016313B">
            <w:pPr>
              <w:jc w:val="right"/>
            </w:pPr>
            <w:r>
              <w:t>Ways &amp; Means</w:t>
            </w:r>
          </w:p>
        </w:tc>
      </w:tr>
      <w:tr w:rsidR="000C1C19" w14:paraId="2EDC024A" w14:textId="77777777" w:rsidTr="00345119">
        <w:tc>
          <w:tcPr>
            <w:tcW w:w="9576" w:type="dxa"/>
          </w:tcPr>
          <w:p w14:paraId="323ED0C6" w14:textId="1FA18410" w:rsidR="008423E4" w:rsidRDefault="008C48FF" w:rsidP="0016313B">
            <w:pPr>
              <w:jc w:val="right"/>
            </w:pPr>
            <w:r>
              <w:t>Committee Report (Unamended)</w:t>
            </w:r>
          </w:p>
        </w:tc>
      </w:tr>
    </w:tbl>
    <w:p w14:paraId="495099DD" w14:textId="77777777" w:rsidR="008423E4" w:rsidRDefault="008423E4" w:rsidP="0016313B">
      <w:pPr>
        <w:tabs>
          <w:tab w:val="right" w:pos="9360"/>
        </w:tabs>
      </w:pPr>
    </w:p>
    <w:p w14:paraId="342B89FA" w14:textId="77777777" w:rsidR="008423E4" w:rsidRDefault="008423E4" w:rsidP="0016313B"/>
    <w:p w14:paraId="05591BBC" w14:textId="77777777" w:rsidR="008423E4" w:rsidRDefault="008423E4" w:rsidP="0016313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C1C19" w14:paraId="46F649E2" w14:textId="77777777" w:rsidTr="00345119">
        <w:tc>
          <w:tcPr>
            <w:tcW w:w="9576" w:type="dxa"/>
          </w:tcPr>
          <w:p w14:paraId="46899B97" w14:textId="77777777" w:rsidR="008423E4" w:rsidRPr="00A8133F" w:rsidRDefault="008C48FF" w:rsidP="0016313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822D4B6" w14:textId="77777777" w:rsidR="008423E4" w:rsidRDefault="008423E4" w:rsidP="0016313B"/>
          <w:p w14:paraId="5B471053" w14:textId="66E474A1" w:rsidR="008423E4" w:rsidRDefault="008C48FF" w:rsidP="001631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D52706" w:rsidRPr="00D52706">
              <w:t xml:space="preserve">he </w:t>
            </w:r>
            <w:r w:rsidR="00D52706">
              <w:t>c</w:t>
            </w:r>
            <w:r w:rsidR="00D52706" w:rsidRPr="00D52706">
              <w:t xml:space="preserve">omptroller of </w:t>
            </w:r>
            <w:r w:rsidR="00D52706">
              <w:t>p</w:t>
            </w:r>
            <w:r w:rsidR="00D52706" w:rsidRPr="00D52706">
              <w:t xml:space="preserve">ublic </w:t>
            </w:r>
            <w:r w:rsidR="00D52706">
              <w:t>a</w:t>
            </w:r>
            <w:r w:rsidR="00D52706" w:rsidRPr="00D52706">
              <w:t xml:space="preserve">ccounts has exempted "wound care dressings" from </w:t>
            </w:r>
            <w:r w:rsidR="00D52706">
              <w:t xml:space="preserve">the </w:t>
            </w:r>
            <w:r w:rsidR="00D52706" w:rsidRPr="00D52706">
              <w:t>sales and use tax</w:t>
            </w:r>
            <w:r w:rsidR="00D52706">
              <w:t xml:space="preserve"> through </w:t>
            </w:r>
            <w:r>
              <w:t>the rulemaking process</w:t>
            </w:r>
            <w:r w:rsidR="00D52706" w:rsidRPr="00D52706">
              <w:t xml:space="preserve">. S.B. 379 </w:t>
            </w:r>
            <w:r>
              <w:t xml:space="preserve">seeks to </w:t>
            </w:r>
            <w:r w:rsidR="00D52706" w:rsidRPr="00D52706">
              <w:t>codif</w:t>
            </w:r>
            <w:r>
              <w:t>y</w:t>
            </w:r>
            <w:r w:rsidR="00D52706" w:rsidRPr="00D52706">
              <w:t xml:space="preserve"> th</w:t>
            </w:r>
            <w:r>
              <w:t>is exemption in the Tax Code</w:t>
            </w:r>
            <w:r w:rsidR="00BB1016">
              <w:t xml:space="preserve"> in order to ensure it remains in effect</w:t>
            </w:r>
            <w:r w:rsidR="00D52706" w:rsidRPr="00D52706">
              <w:t>.</w:t>
            </w:r>
            <w:r>
              <w:t xml:space="preserve"> Furthermore, the bill seeks to </w:t>
            </w:r>
            <w:r w:rsidR="009C3B40">
              <w:t xml:space="preserve">also </w:t>
            </w:r>
            <w:r>
              <w:t xml:space="preserve">exempt from sales and use taxes adult and children's diapers, baby wipes, feminine hygiene products, maternity clothing, </w:t>
            </w:r>
            <w:r>
              <w:t>breast milk pumping products, and baby bottles.</w:t>
            </w:r>
          </w:p>
          <w:p w14:paraId="504A218F" w14:textId="77777777" w:rsidR="008423E4" w:rsidRPr="00E26B13" w:rsidRDefault="008423E4" w:rsidP="0016313B">
            <w:pPr>
              <w:rPr>
                <w:b/>
              </w:rPr>
            </w:pPr>
          </w:p>
        </w:tc>
      </w:tr>
      <w:tr w:rsidR="000C1C19" w14:paraId="1E9D0B6A" w14:textId="77777777" w:rsidTr="00345119">
        <w:tc>
          <w:tcPr>
            <w:tcW w:w="9576" w:type="dxa"/>
          </w:tcPr>
          <w:p w14:paraId="717D4242" w14:textId="77777777" w:rsidR="0017725B" w:rsidRDefault="008C48FF" w:rsidP="0016313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D63D20A" w14:textId="77777777" w:rsidR="0017725B" w:rsidRDefault="0017725B" w:rsidP="0016313B">
            <w:pPr>
              <w:rPr>
                <w:b/>
                <w:u w:val="single"/>
              </w:rPr>
            </w:pPr>
          </w:p>
          <w:p w14:paraId="3816F434" w14:textId="63A34295" w:rsidR="003C6234" w:rsidRPr="003C6234" w:rsidRDefault="008C48FF" w:rsidP="0016313B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</w:t>
            </w:r>
            <w:r>
              <w:t>e the eligibility of a person for community supervision, parole, or mandatory supervision.</w:t>
            </w:r>
          </w:p>
          <w:p w14:paraId="560BD2A6" w14:textId="77777777" w:rsidR="0017725B" w:rsidRPr="0017725B" w:rsidRDefault="0017725B" w:rsidP="0016313B">
            <w:pPr>
              <w:rPr>
                <w:b/>
                <w:u w:val="single"/>
              </w:rPr>
            </w:pPr>
          </w:p>
        </w:tc>
      </w:tr>
      <w:tr w:rsidR="000C1C19" w14:paraId="28A95130" w14:textId="77777777" w:rsidTr="00345119">
        <w:tc>
          <w:tcPr>
            <w:tcW w:w="9576" w:type="dxa"/>
          </w:tcPr>
          <w:p w14:paraId="09CBA493" w14:textId="77777777" w:rsidR="008423E4" w:rsidRPr="00A8133F" w:rsidRDefault="008C48FF" w:rsidP="0016313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4753E51" w14:textId="77777777" w:rsidR="008423E4" w:rsidRDefault="008423E4" w:rsidP="0016313B"/>
          <w:p w14:paraId="065BCE8C" w14:textId="0B0F8E9B" w:rsidR="003C6234" w:rsidRDefault="008C48FF" w:rsidP="001631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</w:t>
            </w:r>
            <w:r>
              <w:t>department, agency, or institution.</w:t>
            </w:r>
          </w:p>
          <w:p w14:paraId="5D412EB2" w14:textId="77777777" w:rsidR="008423E4" w:rsidRPr="00E21FDC" w:rsidRDefault="008423E4" w:rsidP="0016313B">
            <w:pPr>
              <w:rPr>
                <w:b/>
              </w:rPr>
            </w:pPr>
          </w:p>
        </w:tc>
      </w:tr>
      <w:tr w:rsidR="000C1C19" w14:paraId="32F9065D" w14:textId="77777777" w:rsidTr="00345119">
        <w:tc>
          <w:tcPr>
            <w:tcW w:w="9576" w:type="dxa"/>
          </w:tcPr>
          <w:p w14:paraId="029C5A4F" w14:textId="77777777" w:rsidR="008423E4" w:rsidRPr="00A8133F" w:rsidRDefault="008C48FF" w:rsidP="0016313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3414132" w14:textId="3A79AF21" w:rsidR="008423E4" w:rsidRDefault="008C48FF" w:rsidP="0016313B">
            <w:r>
              <w:t xml:space="preserve">  </w:t>
            </w:r>
          </w:p>
          <w:p w14:paraId="69D817BF" w14:textId="135705D0" w:rsidR="00226117" w:rsidRDefault="008C48FF" w:rsidP="0016313B">
            <w:pPr>
              <w:pStyle w:val="Header"/>
              <w:jc w:val="both"/>
            </w:pPr>
            <w:r>
              <w:t>S</w:t>
            </w:r>
            <w:r w:rsidR="00E0373C">
              <w:t xml:space="preserve">.B. </w:t>
            </w:r>
            <w:r>
              <w:t>379</w:t>
            </w:r>
            <w:r w:rsidR="00E0373C">
              <w:t xml:space="preserve"> amends the Tax Code to </w:t>
            </w:r>
            <w:r w:rsidR="003E1902">
              <w:t xml:space="preserve">include </w:t>
            </w:r>
            <w:r w:rsidR="00B048C5">
              <w:t xml:space="preserve">a </w:t>
            </w:r>
            <w:r w:rsidR="00E0373C">
              <w:t>wound care dressing</w:t>
            </w:r>
            <w:r w:rsidR="00B048C5">
              <w:t>, an adult or children's diaper, and a baby wipe</w:t>
            </w:r>
            <w:r w:rsidR="003E1902">
              <w:t xml:space="preserve"> among the</w:t>
            </w:r>
            <w:r w:rsidR="003C6234">
              <w:t xml:space="preserve"> </w:t>
            </w:r>
            <w:r w:rsidR="00E0373C">
              <w:t>health care supplies</w:t>
            </w:r>
            <w:r w:rsidR="003E1902">
              <w:t xml:space="preserve"> exempted</w:t>
            </w:r>
            <w:r w:rsidR="003C6234">
              <w:t xml:space="preserve"> from</w:t>
            </w:r>
            <w:r w:rsidR="00E0373C">
              <w:t xml:space="preserve"> the sales and use tax. </w:t>
            </w:r>
            <w:r w:rsidR="003E1902">
              <w:t xml:space="preserve">For purposes of this exemption, </w:t>
            </w:r>
            <w:r w:rsidR="00D920FC">
              <w:t>t</w:t>
            </w:r>
            <w:r>
              <w:t xml:space="preserve">he </w:t>
            </w:r>
            <w:r w:rsidR="00FA4921">
              <w:t xml:space="preserve">bill </w:t>
            </w:r>
            <w:r w:rsidR="00D42ADB">
              <w:t>provides</w:t>
            </w:r>
            <w:r>
              <w:t xml:space="preserve"> the following:</w:t>
            </w:r>
          </w:p>
          <w:p w14:paraId="62C44965" w14:textId="0C86BA28" w:rsidR="004C0FB9" w:rsidRDefault="008C48FF" w:rsidP="0016313B">
            <w:pPr>
              <w:pStyle w:val="Header"/>
              <w:numPr>
                <w:ilvl w:val="0"/>
                <w:numId w:val="2"/>
              </w:numPr>
              <w:jc w:val="both"/>
            </w:pPr>
            <w:r w:rsidRPr="00D920FC">
              <w:t>a</w:t>
            </w:r>
            <w:r>
              <w:t xml:space="preserve"> product is a</w:t>
            </w:r>
            <w:r w:rsidRPr="00D920FC">
              <w:t xml:space="preserve"> wound care dressing if it is used to prevent bacterial contamination of a wound by absorbing wound drainage, protecting healing tissue, or maintaining a moist or dry wound envi</w:t>
            </w:r>
            <w:r w:rsidRPr="00D920FC">
              <w:t>ronment</w:t>
            </w:r>
            <w:r>
              <w:t>, and, more specifically:</w:t>
            </w:r>
            <w:r w:rsidRPr="00D920FC">
              <w:t xml:space="preserve"> </w:t>
            </w:r>
          </w:p>
          <w:p w14:paraId="01A0CC6F" w14:textId="3CDE4C6C" w:rsidR="004C0FB9" w:rsidRDefault="008C48FF" w:rsidP="0016313B">
            <w:pPr>
              <w:pStyle w:val="Header"/>
              <w:numPr>
                <w:ilvl w:val="1"/>
                <w:numId w:val="2"/>
              </w:numPr>
              <w:jc w:val="both"/>
            </w:pPr>
            <w:r>
              <w:t xml:space="preserve">individual </w:t>
            </w:r>
            <w:r w:rsidR="00D920FC" w:rsidRPr="00D920FC">
              <w:t xml:space="preserve">sterile adhesive bandages, sterile rolls or pads of gauze, and surgical and medical tape used to secure a wound care dressing to a patient </w:t>
            </w:r>
            <w:r>
              <w:t xml:space="preserve">are all considered to be a wound care dressing; </w:t>
            </w:r>
            <w:r w:rsidR="00D920FC" w:rsidRPr="00D920FC">
              <w:t xml:space="preserve">but </w:t>
            </w:r>
          </w:p>
          <w:p w14:paraId="4DB9EEF8" w14:textId="479BC7E3" w:rsidR="00D920FC" w:rsidRDefault="008C48FF" w:rsidP="0016313B">
            <w:pPr>
              <w:pStyle w:val="Header"/>
              <w:numPr>
                <w:ilvl w:val="1"/>
                <w:numId w:val="2"/>
              </w:numPr>
              <w:jc w:val="both"/>
            </w:pPr>
            <w:r w:rsidRPr="00D920FC">
              <w:t>general purpose abs</w:t>
            </w:r>
            <w:r w:rsidRPr="00D920FC">
              <w:t>orption items or appliances or devices used to drain bodily fluids or irrigate body cavities</w:t>
            </w:r>
            <w:r w:rsidR="004C0FB9">
              <w:t xml:space="preserve"> are not considered to be a wound care dressing</w:t>
            </w:r>
            <w:r>
              <w:t>;</w:t>
            </w:r>
          </w:p>
          <w:p w14:paraId="11F36807" w14:textId="3E0D8EA2" w:rsidR="004C0FB9" w:rsidRDefault="008C48FF" w:rsidP="0016313B">
            <w:pPr>
              <w:pStyle w:val="Header"/>
              <w:numPr>
                <w:ilvl w:val="0"/>
                <w:numId w:val="2"/>
              </w:numPr>
              <w:jc w:val="both"/>
            </w:pPr>
            <w:r>
              <w:t>with respect to</w:t>
            </w:r>
            <w:r w:rsidR="00226117">
              <w:t xml:space="preserve"> diaper</w:t>
            </w:r>
            <w:r>
              <w:t>s:</w:t>
            </w:r>
            <w:r w:rsidR="00226117">
              <w:t xml:space="preserve"> </w:t>
            </w:r>
          </w:p>
          <w:p w14:paraId="3E53BF8F" w14:textId="2925AE14" w:rsidR="00226117" w:rsidRDefault="008C48FF" w:rsidP="0016313B">
            <w:pPr>
              <w:pStyle w:val="Header"/>
              <w:numPr>
                <w:ilvl w:val="1"/>
                <w:numId w:val="2"/>
              </w:numPr>
              <w:jc w:val="both"/>
            </w:pPr>
            <w:r>
              <w:t xml:space="preserve">a product is a diaper if it is an absorbent garment worn by humans who are incapable of, </w:t>
            </w:r>
            <w:r>
              <w:t>or have difficulty, controlling their bladder or bowel movements;</w:t>
            </w:r>
          </w:p>
          <w:p w14:paraId="73F0DAA0" w14:textId="2593F33C" w:rsidR="00226117" w:rsidRDefault="008C48FF" w:rsidP="0016313B">
            <w:pPr>
              <w:pStyle w:val="Header"/>
              <w:numPr>
                <w:ilvl w:val="1"/>
                <w:numId w:val="2"/>
              </w:numPr>
              <w:jc w:val="both"/>
            </w:pPr>
            <w:r>
              <w:t>a product is an adult diaper if it is a diaper other than a children's diaper; and</w:t>
            </w:r>
          </w:p>
          <w:p w14:paraId="5FE9F829" w14:textId="37E70097" w:rsidR="00226117" w:rsidRDefault="008C48FF" w:rsidP="0016313B">
            <w:pPr>
              <w:pStyle w:val="Header"/>
              <w:numPr>
                <w:ilvl w:val="1"/>
                <w:numId w:val="2"/>
              </w:numPr>
              <w:jc w:val="both"/>
            </w:pPr>
            <w:r>
              <w:t>a product is a children's diaper if it is a diaper marketed to be worn by children; and</w:t>
            </w:r>
          </w:p>
          <w:p w14:paraId="1A59464E" w14:textId="340E78BF" w:rsidR="00835AC5" w:rsidRDefault="008C48FF" w:rsidP="0016313B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a </w:t>
            </w:r>
            <w:r w:rsidR="004C0FB9">
              <w:t xml:space="preserve">product is a </w:t>
            </w:r>
            <w:r>
              <w:t>baby</w:t>
            </w:r>
            <w:r>
              <w:t xml:space="preserve"> wipe if </w:t>
            </w:r>
            <w:r w:rsidR="004C0FB9">
              <w:t>it</w:t>
            </w:r>
            <w:r>
              <w:t xml:space="preserve"> is a moistened and disposable tissue or towel intended for cleansing the skin of a young child.</w:t>
            </w:r>
          </w:p>
          <w:p w14:paraId="680F213C" w14:textId="77777777" w:rsidR="00835AC5" w:rsidRDefault="00835AC5" w:rsidP="001631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A87050B" w14:textId="6D777839" w:rsidR="007D4A26" w:rsidRDefault="008C48FF" w:rsidP="001631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33540">
              <w:t>S.B. 379</w:t>
            </w:r>
            <w:r>
              <w:t xml:space="preserve"> </w:t>
            </w:r>
            <w:r w:rsidR="00835AC5">
              <w:t xml:space="preserve">exempts the </w:t>
            </w:r>
            <w:r w:rsidR="00835AC5" w:rsidRPr="00835AC5">
              <w:t>sale,</w:t>
            </w:r>
            <w:r>
              <w:t xml:space="preserve"> storage,</w:t>
            </w:r>
            <w:r w:rsidR="00835AC5" w:rsidRPr="00835AC5">
              <w:t xml:space="preserve"> use, or </w:t>
            </w:r>
            <w:r>
              <w:t xml:space="preserve">other </w:t>
            </w:r>
            <w:r w:rsidR="00835AC5" w:rsidRPr="00835AC5">
              <w:t>consumption of a feminine hygiene product</w:t>
            </w:r>
            <w:r>
              <w:t xml:space="preserve">, </w:t>
            </w:r>
            <w:r w:rsidRPr="007D4A26">
              <w:t>an article of maternity clothin</w:t>
            </w:r>
            <w:r>
              <w:t xml:space="preserve">g, </w:t>
            </w:r>
            <w:r w:rsidRPr="007D4A26">
              <w:t xml:space="preserve">a breast milk </w:t>
            </w:r>
            <w:r w:rsidRPr="007D4A26">
              <w:t>pumping product</w:t>
            </w:r>
            <w:r>
              <w:t xml:space="preserve">, </w:t>
            </w:r>
            <w:r w:rsidR="00FA4921">
              <w:t>and</w:t>
            </w:r>
            <w:r>
              <w:t xml:space="preserve"> </w:t>
            </w:r>
            <w:r w:rsidRPr="007D4A26">
              <w:t>a baby bottle</w:t>
            </w:r>
            <w:r w:rsidR="00835AC5" w:rsidRPr="00835AC5">
              <w:t xml:space="preserve"> </w:t>
            </w:r>
            <w:r w:rsidR="00835AC5">
              <w:t xml:space="preserve">from the sales and use tax. For purposes of this exemption, </w:t>
            </w:r>
            <w:r>
              <w:t>the bill defines the following terms:</w:t>
            </w:r>
          </w:p>
          <w:p w14:paraId="63EB415D" w14:textId="1B4C1F9D" w:rsidR="007D4A26" w:rsidRDefault="008C48FF" w:rsidP="0016313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835AC5">
              <w:t xml:space="preserve">"feminine hygiene product" </w:t>
            </w:r>
            <w:r w:rsidR="00D52706">
              <w:t>me</w:t>
            </w:r>
            <w:r>
              <w:t>a</w:t>
            </w:r>
            <w:r w:rsidR="00D52706">
              <w:t>n</w:t>
            </w:r>
            <w:r>
              <w:t>s</w:t>
            </w:r>
            <w:r w:rsidRPr="00835AC5">
              <w:t xml:space="preserve"> </w:t>
            </w:r>
            <w:r w:rsidR="00D52706" w:rsidRPr="00D52706">
              <w:t xml:space="preserve">a tampon, sanitary napkin, menstrual cup, menstrual sponge, menstrual pad, or other similar </w:t>
            </w:r>
            <w:r w:rsidRPr="00835AC5">
              <w:t>tangible personal property sold for the principal purpose of feminine hygiene in connection with the menstrual cycle</w:t>
            </w:r>
            <w:r w:rsidR="00226117">
              <w:t xml:space="preserve"> or postpartum care</w:t>
            </w:r>
            <w:r>
              <w:t>;</w:t>
            </w:r>
          </w:p>
          <w:p w14:paraId="320C1F8A" w14:textId="14CFD9E4" w:rsidR="007D4A26" w:rsidRDefault="008C48FF" w:rsidP="0016313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"maternity clothing" </w:t>
            </w:r>
            <w:r w:rsidR="00D52706">
              <w:t>means</w:t>
            </w:r>
            <w:r w:rsidR="00D52706" w:rsidRPr="00835AC5">
              <w:t xml:space="preserve"> </w:t>
            </w:r>
            <w:r>
              <w:t xml:space="preserve">clothing labeled for a woman to wear during pregnancy that is designed to accommodate the </w:t>
            </w:r>
            <w:r>
              <w:t>changes in body size and shape that occur as a result of a pregnancy or to facilitate breastfeeding, including a nursing bra or nursing pad;</w:t>
            </w:r>
          </w:p>
          <w:p w14:paraId="121DE837" w14:textId="2281FD1D" w:rsidR="007D4A26" w:rsidRDefault="008C48FF" w:rsidP="0016313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"breast milk pumping product" </w:t>
            </w:r>
            <w:r w:rsidR="00D52706">
              <w:t>means</w:t>
            </w:r>
            <w:r w:rsidR="00D52706" w:rsidRPr="00835AC5">
              <w:t xml:space="preserve"> </w:t>
            </w:r>
            <w:r>
              <w:t>a breast pump, a breast milk storage bag or other container designed to store p</w:t>
            </w:r>
            <w:r>
              <w:t>umped breast milk, or a pumping bra;</w:t>
            </w:r>
          </w:p>
          <w:p w14:paraId="1B6B275D" w14:textId="4B7A7EC7" w:rsidR="007D4A26" w:rsidRDefault="008C48FF" w:rsidP="0016313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"breast pump" means an electrically or manually controlled device designed or marketed to be used to express milk from a human breast during lactation, including accessories necessary for use of the device such as flang</w:t>
            </w:r>
            <w:r>
              <w:t xml:space="preserve">es and tubing, </w:t>
            </w:r>
            <w:r w:rsidR="00D52706">
              <w:t>as well as</w:t>
            </w:r>
            <w:r>
              <w:t xml:space="preserve"> any battery, AC adapter, or other power supply unit packaged and sold with the device to power the device; and</w:t>
            </w:r>
          </w:p>
          <w:p w14:paraId="5C769636" w14:textId="2AEE84D8" w:rsidR="007D4A26" w:rsidRDefault="008C48FF" w:rsidP="0016313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"baby bottle" means a bottle fitted with a nipple for giving milk and other drinks to a young child.</w:t>
            </w:r>
          </w:p>
          <w:p w14:paraId="65B2BBDD" w14:textId="77777777" w:rsidR="00835AC5" w:rsidRDefault="00835AC5" w:rsidP="001631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E012AE3" w14:textId="33EBEDE1" w:rsidR="00E0373C" w:rsidRPr="009C36CD" w:rsidRDefault="008C48FF" w:rsidP="001631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33540">
              <w:t>S.B. 379</w:t>
            </w:r>
            <w:r>
              <w:t xml:space="preserve"> </w:t>
            </w:r>
            <w:r w:rsidR="003C6234">
              <w:t xml:space="preserve">expressly does not affect </w:t>
            </w:r>
            <w:r w:rsidR="007D4A26" w:rsidRPr="007D4A26">
              <w:t>tax liability accruin</w:t>
            </w:r>
            <w:r w:rsidR="007D4A26">
              <w:t xml:space="preserve">g </w:t>
            </w:r>
            <w:r w:rsidR="003C6234">
              <w:t xml:space="preserve">before the </w:t>
            </w:r>
            <w:r w:rsidR="00835AC5">
              <w:t xml:space="preserve">bill's </w:t>
            </w:r>
            <w:r w:rsidR="003C6234">
              <w:t>effective date.</w:t>
            </w:r>
            <w:r w:rsidR="007D4A26">
              <w:t xml:space="preserve"> </w:t>
            </w:r>
            <w:r w:rsidR="007D4A26" w:rsidRPr="007D4A26">
              <w:t>That liability continues in effect as</w:t>
            </w:r>
            <w:r w:rsidR="002D578E">
              <w:t xml:space="preserve"> if</w:t>
            </w:r>
            <w:r w:rsidR="007D4A26" w:rsidRPr="007D4A26">
              <w:t xml:space="preserve"> </w:t>
            </w:r>
            <w:r w:rsidR="00180383">
              <w:t>the bill</w:t>
            </w:r>
            <w:r w:rsidR="007D4A26" w:rsidRPr="007D4A26">
              <w:t xml:space="preserve"> had not been enacted, and the former law is continued in effect for the collection of taxes due and for civil and criminal enforcement of the liability for those taxes.</w:t>
            </w:r>
          </w:p>
          <w:p w14:paraId="707AD2E1" w14:textId="77777777" w:rsidR="008423E4" w:rsidRPr="00835628" w:rsidRDefault="008423E4" w:rsidP="0016313B">
            <w:pPr>
              <w:rPr>
                <w:b/>
              </w:rPr>
            </w:pPr>
          </w:p>
        </w:tc>
      </w:tr>
      <w:tr w:rsidR="000C1C19" w14:paraId="2AF0D756" w14:textId="77777777" w:rsidTr="00345119">
        <w:tc>
          <w:tcPr>
            <w:tcW w:w="9576" w:type="dxa"/>
          </w:tcPr>
          <w:p w14:paraId="1675E4BF" w14:textId="77777777" w:rsidR="008423E4" w:rsidRPr="00A8133F" w:rsidRDefault="008C48FF" w:rsidP="0016313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3D52763" w14:textId="77777777" w:rsidR="008423E4" w:rsidRDefault="008423E4" w:rsidP="0016313B"/>
          <w:p w14:paraId="6354DD0D" w14:textId="093E4A37" w:rsidR="008423E4" w:rsidRPr="003624F2" w:rsidRDefault="008C48FF" w:rsidP="001631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9B11EA1" w14:textId="77777777" w:rsidR="008423E4" w:rsidRPr="00233FDB" w:rsidRDefault="008423E4" w:rsidP="0016313B">
            <w:pPr>
              <w:rPr>
                <w:b/>
              </w:rPr>
            </w:pPr>
          </w:p>
        </w:tc>
      </w:tr>
    </w:tbl>
    <w:p w14:paraId="7481D7B4" w14:textId="77777777" w:rsidR="008423E4" w:rsidRPr="00BE0E75" w:rsidRDefault="008423E4" w:rsidP="0016313B">
      <w:pPr>
        <w:jc w:val="both"/>
        <w:rPr>
          <w:rFonts w:ascii="Arial" w:hAnsi="Arial"/>
          <w:sz w:val="16"/>
          <w:szCs w:val="16"/>
        </w:rPr>
      </w:pPr>
    </w:p>
    <w:p w14:paraId="343D0FF3" w14:textId="77777777" w:rsidR="004108C3" w:rsidRPr="008423E4" w:rsidRDefault="004108C3" w:rsidP="0016313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437FC" w14:textId="77777777" w:rsidR="00000000" w:rsidRDefault="008C48FF">
      <w:r>
        <w:separator/>
      </w:r>
    </w:p>
  </w:endnote>
  <w:endnote w:type="continuationSeparator" w:id="0">
    <w:p w14:paraId="235BA913" w14:textId="77777777" w:rsidR="00000000" w:rsidRDefault="008C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37B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C1C19" w14:paraId="25C5AA5C" w14:textId="77777777" w:rsidTr="009C1E9A">
      <w:trPr>
        <w:cantSplit/>
      </w:trPr>
      <w:tc>
        <w:tcPr>
          <w:tcW w:w="0" w:type="pct"/>
        </w:tcPr>
        <w:p w14:paraId="0E033E8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D81E58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B4EEAC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D92CDF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3F47F5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C1C19" w14:paraId="08AD7F47" w14:textId="77777777" w:rsidTr="009C1E9A">
      <w:trPr>
        <w:cantSplit/>
      </w:trPr>
      <w:tc>
        <w:tcPr>
          <w:tcW w:w="0" w:type="pct"/>
        </w:tcPr>
        <w:p w14:paraId="2B25540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2156AC1" w14:textId="65DF1686" w:rsidR="00EC379B" w:rsidRPr="009C1E9A" w:rsidRDefault="008C48F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31464-D</w:t>
          </w:r>
        </w:p>
      </w:tc>
      <w:tc>
        <w:tcPr>
          <w:tcW w:w="2453" w:type="pct"/>
        </w:tcPr>
        <w:p w14:paraId="1AAD62A1" w14:textId="7F08EC2B" w:rsidR="00EC379B" w:rsidRDefault="008C48F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419FA">
            <w:t>23.138.2000</w:t>
          </w:r>
          <w:r>
            <w:fldChar w:fldCharType="end"/>
          </w:r>
        </w:p>
      </w:tc>
    </w:tr>
    <w:tr w:rsidR="000C1C19" w14:paraId="0F46FE5C" w14:textId="77777777" w:rsidTr="009C1E9A">
      <w:trPr>
        <w:cantSplit/>
      </w:trPr>
      <w:tc>
        <w:tcPr>
          <w:tcW w:w="0" w:type="pct"/>
        </w:tcPr>
        <w:p w14:paraId="02F8708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001CB8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FEAB84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AABE39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C1C19" w14:paraId="4A79F65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198D57B" w14:textId="77777777" w:rsidR="00EC379B" w:rsidRDefault="008C48F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F42A32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3EC6C6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A94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47BE" w14:textId="77777777" w:rsidR="00000000" w:rsidRDefault="008C48FF">
      <w:r>
        <w:separator/>
      </w:r>
    </w:p>
  </w:footnote>
  <w:footnote w:type="continuationSeparator" w:id="0">
    <w:p w14:paraId="40C94E52" w14:textId="77777777" w:rsidR="00000000" w:rsidRDefault="008C4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030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E65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1CB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17C4"/>
    <w:multiLevelType w:val="hybridMultilevel"/>
    <w:tmpl w:val="EDB2488E"/>
    <w:lvl w:ilvl="0" w:tplc="3D80AB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3E6B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2C0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8CD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64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F61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843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41A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F040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86879"/>
    <w:multiLevelType w:val="hybridMultilevel"/>
    <w:tmpl w:val="7FAEA614"/>
    <w:lvl w:ilvl="0" w:tplc="7FC66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F41D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FC4D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22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41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AE6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01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65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EC0A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A7AF0"/>
    <w:multiLevelType w:val="hybridMultilevel"/>
    <w:tmpl w:val="5E5A146E"/>
    <w:lvl w:ilvl="0" w:tplc="A4C49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8CE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26F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E0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058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A6D2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65C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00F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84CE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217521">
    <w:abstractNumId w:val="1"/>
  </w:num>
  <w:num w:numId="2" w16cid:durableId="717586314">
    <w:abstractNumId w:val="0"/>
  </w:num>
  <w:num w:numId="3" w16cid:durableId="7372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3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1510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4624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1C19"/>
    <w:rsid w:val="000C49DA"/>
    <w:rsid w:val="000C4B3D"/>
    <w:rsid w:val="000C6DC1"/>
    <w:rsid w:val="000C6E20"/>
    <w:rsid w:val="000C76D7"/>
    <w:rsid w:val="000C7F1D"/>
    <w:rsid w:val="000D2EBA"/>
    <w:rsid w:val="000D3289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2EFF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13B"/>
    <w:rsid w:val="001639C5"/>
    <w:rsid w:val="00163E45"/>
    <w:rsid w:val="001664C2"/>
    <w:rsid w:val="00171BF2"/>
    <w:rsid w:val="0017347B"/>
    <w:rsid w:val="0017725B"/>
    <w:rsid w:val="00180383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611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46DB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78E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376F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234"/>
    <w:rsid w:val="003C664C"/>
    <w:rsid w:val="003D726D"/>
    <w:rsid w:val="003E0875"/>
    <w:rsid w:val="003E0BB8"/>
    <w:rsid w:val="003E1902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0B3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0FB9"/>
    <w:rsid w:val="004C302F"/>
    <w:rsid w:val="004C4609"/>
    <w:rsid w:val="004C4B8A"/>
    <w:rsid w:val="004C52EF"/>
    <w:rsid w:val="004C595C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4CB5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197"/>
    <w:rsid w:val="00515466"/>
    <w:rsid w:val="005154F7"/>
    <w:rsid w:val="005159DE"/>
    <w:rsid w:val="005269CE"/>
    <w:rsid w:val="005304B2"/>
    <w:rsid w:val="005336BD"/>
    <w:rsid w:val="00533D77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58D3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80D"/>
    <w:rsid w:val="007509BE"/>
    <w:rsid w:val="0075287B"/>
    <w:rsid w:val="00753B8E"/>
    <w:rsid w:val="00755C7B"/>
    <w:rsid w:val="00764786"/>
    <w:rsid w:val="00766E12"/>
    <w:rsid w:val="0077098E"/>
    <w:rsid w:val="00771287"/>
    <w:rsid w:val="0077149E"/>
    <w:rsid w:val="007737E4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4A26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AC5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1972"/>
    <w:rsid w:val="008826F2"/>
    <w:rsid w:val="008845BA"/>
    <w:rsid w:val="00884AE3"/>
    <w:rsid w:val="00885203"/>
    <w:rsid w:val="008859CA"/>
    <w:rsid w:val="008861EE"/>
    <w:rsid w:val="00886D54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48FF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5BE4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BF9"/>
    <w:rsid w:val="00986720"/>
    <w:rsid w:val="00987F00"/>
    <w:rsid w:val="0099403D"/>
    <w:rsid w:val="00995B0B"/>
    <w:rsid w:val="009A1883"/>
    <w:rsid w:val="009A24EB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3B40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28B"/>
    <w:rsid w:val="00A26A8A"/>
    <w:rsid w:val="00A27255"/>
    <w:rsid w:val="00A32304"/>
    <w:rsid w:val="00A3420E"/>
    <w:rsid w:val="00A35D66"/>
    <w:rsid w:val="00A41085"/>
    <w:rsid w:val="00A419FA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14E8"/>
    <w:rsid w:val="00AF48B4"/>
    <w:rsid w:val="00AF4923"/>
    <w:rsid w:val="00AF7C74"/>
    <w:rsid w:val="00B000AF"/>
    <w:rsid w:val="00B048C5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2E48"/>
    <w:rsid w:val="00B95BC8"/>
    <w:rsid w:val="00B96E87"/>
    <w:rsid w:val="00BA146A"/>
    <w:rsid w:val="00BA32EE"/>
    <w:rsid w:val="00BB1016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3540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2341"/>
    <w:rsid w:val="00D35728"/>
    <w:rsid w:val="00D359A7"/>
    <w:rsid w:val="00D37BCF"/>
    <w:rsid w:val="00D40F93"/>
    <w:rsid w:val="00D42277"/>
    <w:rsid w:val="00D42ADB"/>
    <w:rsid w:val="00D43C59"/>
    <w:rsid w:val="00D44ADE"/>
    <w:rsid w:val="00D50D65"/>
    <w:rsid w:val="00D512E0"/>
    <w:rsid w:val="00D519F3"/>
    <w:rsid w:val="00D51D2A"/>
    <w:rsid w:val="00D52706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0FC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382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373C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1CC5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4542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4921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77076E-6484-459B-83A3-3CB05BA5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037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037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373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3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373C"/>
    <w:rPr>
      <w:b/>
      <w:bCs/>
    </w:rPr>
  </w:style>
  <w:style w:type="paragraph" w:styleId="Revision">
    <w:name w:val="Revision"/>
    <w:hidden/>
    <w:uiPriority w:val="99"/>
    <w:semiHidden/>
    <w:rsid w:val="00A2628B"/>
    <w:rPr>
      <w:sz w:val="24"/>
      <w:szCs w:val="24"/>
    </w:rPr>
  </w:style>
  <w:style w:type="character" w:styleId="Hyperlink">
    <w:name w:val="Hyperlink"/>
    <w:basedOn w:val="DefaultParagraphFont"/>
    <w:unhideWhenUsed/>
    <w:rsid w:val="005858D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5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3413</Characters>
  <Application>Microsoft Office Word</Application>
  <DocSecurity>4</DocSecurity>
  <Lines>81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SB00379 (Committee Report (Unamended))</vt:lpstr>
    </vt:vector>
  </TitlesOfParts>
  <Company>State of Texas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31464</dc:subject>
  <dc:creator>State of Texas</dc:creator>
  <dc:description>SB 379 by Huffman-(H)Ways &amp; Means</dc:description>
  <cp:lastModifiedBy>Damian Duarte</cp:lastModifiedBy>
  <cp:revision>2</cp:revision>
  <cp:lastPrinted>2003-11-26T17:21:00Z</cp:lastPrinted>
  <dcterms:created xsi:type="dcterms:W3CDTF">2023-05-19T14:55:00Z</dcterms:created>
  <dcterms:modified xsi:type="dcterms:W3CDTF">2023-05-19T14:55:00Z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23.138.2000</vt:lpwstr>
  </property>
</Properties>
</file>