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5399" w:rsidRDefault="007B539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A224CE3F131463B9ABD3B4BDD2E5093"/>
          </w:placeholder>
        </w:sdtPr>
        <w:sdtContent>
          <w:r w:rsidRPr="005C2A78">
            <w:rPr>
              <w:rFonts w:cs="Times New Roman"/>
              <w:b/>
              <w:szCs w:val="24"/>
              <w:u w:val="single"/>
            </w:rPr>
            <w:t>BILL ANALYSIS</w:t>
          </w:r>
        </w:sdtContent>
      </w:sdt>
    </w:p>
    <w:p w:rsidR="007B5399" w:rsidRPr="00585C31" w:rsidRDefault="007B5399" w:rsidP="000F1DF9">
      <w:pPr>
        <w:spacing w:after="0" w:line="240" w:lineRule="auto"/>
        <w:rPr>
          <w:rFonts w:cs="Times New Roman"/>
          <w:szCs w:val="24"/>
        </w:rPr>
      </w:pPr>
    </w:p>
    <w:p w:rsidR="007B5399" w:rsidRPr="00585C31" w:rsidRDefault="007B539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B5399" w:rsidTr="000F1DF9">
        <w:tc>
          <w:tcPr>
            <w:tcW w:w="2718" w:type="dxa"/>
          </w:tcPr>
          <w:p w:rsidR="007B5399" w:rsidRPr="005C2A78" w:rsidRDefault="007B5399" w:rsidP="006D756B">
            <w:pPr>
              <w:rPr>
                <w:rFonts w:cs="Times New Roman"/>
                <w:szCs w:val="24"/>
              </w:rPr>
            </w:pPr>
            <w:sdt>
              <w:sdtPr>
                <w:rPr>
                  <w:rFonts w:cs="Times New Roman"/>
                  <w:szCs w:val="24"/>
                </w:rPr>
                <w:alias w:val="Agency Title"/>
                <w:tag w:val="AgencyTitleContentControl"/>
                <w:id w:val="1920747753"/>
                <w:lock w:val="sdtContentLocked"/>
                <w:placeholder>
                  <w:docPart w:val="D5E04A884047460B946E82AB2ADF97C9"/>
                </w:placeholder>
              </w:sdtPr>
              <w:sdtEndPr>
                <w:rPr>
                  <w:rFonts w:cstheme="minorBidi"/>
                  <w:szCs w:val="22"/>
                </w:rPr>
              </w:sdtEndPr>
              <w:sdtContent>
                <w:r>
                  <w:rPr>
                    <w:rFonts w:cs="Times New Roman"/>
                    <w:szCs w:val="24"/>
                  </w:rPr>
                  <w:t>Senate Research Center</w:t>
                </w:r>
              </w:sdtContent>
            </w:sdt>
          </w:p>
        </w:tc>
        <w:tc>
          <w:tcPr>
            <w:tcW w:w="6858" w:type="dxa"/>
          </w:tcPr>
          <w:p w:rsidR="007B5399" w:rsidRPr="00FF6471" w:rsidRDefault="007B5399" w:rsidP="000F1DF9">
            <w:pPr>
              <w:jc w:val="right"/>
              <w:rPr>
                <w:rFonts w:cs="Times New Roman"/>
                <w:szCs w:val="24"/>
              </w:rPr>
            </w:pPr>
            <w:sdt>
              <w:sdtPr>
                <w:rPr>
                  <w:rFonts w:cs="Times New Roman"/>
                  <w:szCs w:val="24"/>
                </w:rPr>
                <w:alias w:val="Bill Number"/>
                <w:tag w:val="BillNumberOne"/>
                <w:id w:val="-410784069"/>
                <w:lock w:val="sdtContentLocked"/>
                <w:placeholder>
                  <w:docPart w:val="E8E4F7725BE84F3A8D83ED4A0DB54303"/>
                </w:placeholder>
              </w:sdtPr>
              <w:sdtContent>
                <w:r>
                  <w:rPr>
                    <w:rFonts w:cs="Times New Roman"/>
                    <w:szCs w:val="24"/>
                  </w:rPr>
                  <w:t>C.S.S.B. 384</w:t>
                </w:r>
              </w:sdtContent>
            </w:sdt>
          </w:p>
        </w:tc>
      </w:tr>
      <w:tr w:rsidR="007B5399" w:rsidTr="000F1DF9">
        <w:sdt>
          <w:sdtPr>
            <w:rPr>
              <w:rFonts w:cs="Times New Roman"/>
              <w:szCs w:val="24"/>
            </w:rPr>
            <w:alias w:val="TLCNumber"/>
            <w:tag w:val="TLCNumber"/>
            <w:id w:val="-542600604"/>
            <w:lock w:val="sdtLocked"/>
            <w:placeholder>
              <w:docPart w:val="DADC103CC4084EA6B7966D900B8B71F8"/>
            </w:placeholder>
          </w:sdtPr>
          <w:sdtContent>
            <w:tc>
              <w:tcPr>
                <w:tcW w:w="2718" w:type="dxa"/>
              </w:tcPr>
              <w:p w:rsidR="007B5399" w:rsidRPr="000F1DF9" w:rsidRDefault="007B5399" w:rsidP="00C65088">
                <w:pPr>
                  <w:rPr>
                    <w:rFonts w:cs="Times New Roman"/>
                    <w:szCs w:val="24"/>
                  </w:rPr>
                </w:pPr>
                <w:r>
                  <w:rPr>
                    <w:rFonts w:cs="Times New Roman"/>
                    <w:szCs w:val="24"/>
                  </w:rPr>
                  <w:t>88R17430 SRA-F</w:t>
                </w:r>
              </w:p>
            </w:tc>
          </w:sdtContent>
        </w:sdt>
        <w:tc>
          <w:tcPr>
            <w:tcW w:w="6858" w:type="dxa"/>
          </w:tcPr>
          <w:p w:rsidR="007B5399" w:rsidRPr="005C2A78" w:rsidRDefault="007B5399" w:rsidP="00073EDD">
            <w:pPr>
              <w:jc w:val="right"/>
              <w:rPr>
                <w:rFonts w:cs="Times New Roman"/>
                <w:szCs w:val="24"/>
              </w:rPr>
            </w:pPr>
            <w:sdt>
              <w:sdtPr>
                <w:rPr>
                  <w:rFonts w:cs="Times New Roman"/>
                  <w:szCs w:val="24"/>
                </w:rPr>
                <w:alias w:val="Author Label"/>
                <w:tag w:val="By"/>
                <w:id w:val="72399597"/>
                <w:lock w:val="sdtLocked"/>
                <w:placeholder>
                  <w:docPart w:val="28F77882451A4E3EA7F2960A772C5D1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F5DB3D42D2D48EBA02BE52836BE5136"/>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F562F89BB4BC4D9BB9F625D24A28DC1A"/>
                </w:placeholder>
                <w:showingPlcHdr/>
              </w:sdtPr>
              <w:sdtContent/>
            </w:sdt>
            <w:sdt>
              <w:sdtPr>
                <w:rPr>
                  <w:rFonts w:cs="Times New Roman"/>
                  <w:szCs w:val="24"/>
                </w:rPr>
                <w:alias w:val="DualSponsor"/>
                <w:tag w:val="DualSponsor"/>
                <w:id w:val="1029379812"/>
                <w:lock w:val="sdtContentLocked"/>
                <w:placeholder>
                  <w:docPart w:val="C690E3EBF98F442F95679078CC87FAE2"/>
                </w:placeholder>
                <w:showingPlcHdr/>
              </w:sdtPr>
              <w:sdtContent/>
            </w:sdt>
          </w:p>
        </w:tc>
      </w:tr>
      <w:tr w:rsidR="007B5399" w:rsidTr="000F1DF9">
        <w:tc>
          <w:tcPr>
            <w:tcW w:w="2718" w:type="dxa"/>
          </w:tcPr>
          <w:p w:rsidR="007B5399" w:rsidRPr="00BC7495" w:rsidRDefault="007B5399" w:rsidP="000F1DF9">
            <w:pPr>
              <w:rPr>
                <w:rFonts w:cs="Times New Roman"/>
                <w:szCs w:val="24"/>
              </w:rPr>
            </w:pPr>
          </w:p>
        </w:tc>
        <w:sdt>
          <w:sdtPr>
            <w:rPr>
              <w:rFonts w:cs="Times New Roman"/>
              <w:szCs w:val="24"/>
            </w:rPr>
            <w:alias w:val="Committee"/>
            <w:tag w:val="Committee"/>
            <w:id w:val="1914272295"/>
            <w:lock w:val="sdtContentLocked"/>
            <w:placeholder>
              <w:docPart w:val="C37DFB6BC0EC4A1E9B19263B19D451A3"/>
            </w:placeholder>
          </w:sdtPr>
          <w:sdtContent>
            <w:tc>
              <w:tcPr>
                <w:tcW w:w="6858" w:type="dxa"/>
              </w:tcPr>
              <w:p w:rsidR="007B5399" w:rsidRPr="00FF6471" w:rsidRDefault="007B5399" w:rsidP="000F1DF9">
                <w:pPr>
                  <w:jc w:val="right"/>
                  <w:rPr>
                    <w:rFonts w:cs="Times New Roman"/>
                    <w:szCs w:val="24"/>
                  </w:rPr>
                </w:pPr>
                <w:r>
                  <w:rPr>
                    <w:rFonts w:cs="Times New Roman"/>
                    <w:szCs w:val="24"/>
                  </w:rPr>
                  <w:t>Health &amp; Human Services</w:t>
                </w:r>
              </w:p>
            </w:tc>
          </w:sdtContent>
        </w:sdt>
      </w:tr>
      <w:tr w:rsidR="007B5399" w:rsidTr="000F1DF9">
        <w:tc>
          <w:tcPr>
            <w:tcW w:w="2718" w:type="dxa"/>
          </w:tcPr>
          <w:p w:rsidR="007B5399" w:rsidRPr="00BC7495" w:rsidRDefault="007B5399" w:rsidP="000F1DF9">
            <w:pPr>
              <w:rPr>
                <w:rFonts w:cs="Times New Roman"/>
                <w:szCs w:val="24"/>
              </w:rPr>
            </w:pPr>
          </w:p>
        </w:tc>
        <w:sdt>
          <w:sdtPr>
            <w:rPr>
              <w:rFonts w:cs="Times New Roman"/>
              <w:szCs w:val="24"/>
            </w:rPr>
            <w:alias w:val="Date"/>
            <w:tag w:val="DateContentControl"/>
            <w:id w:val="1178081906"/>
            <w:lock w:val="sdtLocked"/>
            <w:placeholder>
              <w:docPart w:val="E39D14950D794B5AA45B728F37F39C0C"/>
            </w:placeholder>
            <w:date w:fullDate="2023-03-16T00:00:00Z">
              <w:dateFormat w:val="M/d/yyyy"/>
              <w:lid w:val="en-US"/>
              <w:storeMappedDataAs w:val="dateTime"/>
              <w:calendar w:val="gregorian"/>
            </w:date>
          </w:sdtPr>
          <w:sdtContent>
            <w:tc>
              <w:tcPr>
                <w:tcW w:w="6858" w:type="dxa"/>
              </w:tcPr>
              <w:p w:rsidR="007B5399" w:rsidRPr="00FF6471" w:rsidRDefault="007B5399" w:rsidP="000F1DF9">
                <w:pPr>
                  <w:jc w:val="right"/>
                  <w:rPr>
                    <w:rFonts w:cs="Times New Roman"/>
                    <w:szCs w:val="24"/>
                  </w:rPr>
                </w:pPr>
                <w:r>
                  <w:rPr>
                    <w:rFonts w:cs="Times New Roman"/>
                    <w:szCs w:val="24"/>
                  </w:rPr>
                  <w:t>3/16/2023</w:t>
                </w:r>
              </w:p>
            </w:tc>
          </w:sdtContent>
        </w:sdt>
      </w:tr>
      <w:tr w:rsidR="007B5399" w:rsidTr="000F1DF9">
        <w:tc>
          <w:tcPr>
            <w:tcW w:w="2718" w:type="dxa"/>
          </w:tcPr>
          <w:p w:rsidR="007B5399" w:rsidRPr="00BC7495" w:rsidRDefault="007B5399" w:rsidP="000F1DF9">
            <w:pPr>
              <w:rPr>
                <w:rFonts w:cs="Times New Roman"/>
                <w:szCs w:val="24"/>
              </w:rPr>
            </w:pPr>
          </w:p>
        </w:tc>
        <w:sdt>
          <w:sdtPr>
            <w:rPr>
              <w:rFonts w:cs="Times New Roman"/>
              <w:szCs w:val="24"/>
            </w:rPr>
            <w:alias w:val="BA Version"/>
            <w:tag w:val="BAVersion"/>
            <w:id w:val="-1685590809"/>
            <w:lock w:val="sdtContentLocked"/>
            <w:placeholder>
              <w:docPart w:val="AE3C40FB904A40FC91B1A63FDA35E088"/>
            </w:placeholder>
          </w:sdtPr>
          <w:sdtContent>
            <w:tc>
              <w:tcPr>
                <w:tcW w:w="6858" w:type="dxa"/>
              </w:tcPr>
              <w:p w:rsidR="007B5399" w:rsidRPr="00FF6471" w:rsidRDefault="007B5399" w:rsidP="000F1DF9">
                <w:pPr>
                  <w:jc w:val="right"/>
                  <w:rPr>
                    <w:rFonts w:cs="Times New Roman"/>
                    <w:szCs w:val="24"/>
                  </w:rPr>
                </w:pPr>
                <w:r>
                  <w:rPr>
                    <w:rFonts w:cs="Times New Roman"/>
                    <w:szCs w:val="24"/>
                  </w:rPr>
                  <w:t>Committee Report (Substituted)</w:t>
                </w:r>
              </w:p>
            </w:tc>
          </w:sdtContent>
        </w:sdt>
      </w:tr>
    </w:tbl>
    <w:p w:rsidR="007B5399" w:rsidRPr="00FF6471" w:rsidRDefault="007B5399" w:rsidP="000F1DF9">
      <w:pPr>
        <w:spacing w:after="0" w:line="240" w:lineRule="auto"/>
        <w:rPr>
          <w:rFonts w:cs="Times New Roman"/>
          <w:szCs w:val="24"/>
        </w:rPr>
      </w:pPr>
    </w:p>
    <w:p w:rsidR="007B5399" w:rsidRPr="00FF6471" w:rsidRDefault="007B5399" w:rsidP="000F1DF9">
      <w:pPr>
        <w:spacing w:after="0" w:line="240" w:lineRule="auto"/>
        <w:rPr>
          <w:rFonts w:cs="Times New Roman"/>
          <w:szCs w:val="24"/>
        </w:rPr>
      </w:pPr>
    </w:p>
    <w:p w:rsidR="007B5399" w:rsidRPr="00FF6471" w:rsidRDefault="007B539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A92E1E214534BB8A93A700CB1A264DE"/>
        </w:placeholder>
      </w:sdtPr>
      <w:sdtContent>
        <w:p w:rsidR="007B5399" w:rsidRDefault="007B539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81E00CBD0414ADC898D35F750052436"/>
        </w:placeholder>
      </w:sdtPr>
      <w:sdtContent>
        <w:p w:rsidR="007B5399" w:rsidRDefault="007B5399" w:rsidP="00D83B3A">
          <w:pPr>
            <w:pStyle w:val="NormalWeb"/>
            <w:spacing w:before="0" w:beforeAutospacing="0" w:after="0" w:afterAutospacing="0"/>
            <w:jc w:val="both"/>
            <w:divId w:val="1027872556"/>
            <w:rPr>
              <w:rFonts w:eastAsia="Times New Roman"/>
              <w:bCs/>
            </w:rPr>
          </w:pPr>
        </w:p>
        <w:p w:rsidR="007B5399" w:rsidRPr="0072666C" w:rsidRDefault="007B5399" w:rsidP="00D83B3A">
          <w:pPr>
            <w:pStyle w:val="NormalWeb"/>
            <w:spacing w:before="0" w:beforeAutospacing="0" w:after="0" w:afterAutospacing="0"/>
            <w:jc w:val="both"/>
            <w:divId w:val="1027872556"/>
          </w:pPr>
          <w:r w:rsidRPr="0072666C">
            <w:t>Clear aligners are transparent orthodontic braces that align an individual's teeth. These devices can be purchased through dentists or orthodontists after the completion of a dental examination. Additionally, companies sell clear aligners directly to consumers, avoiding the process of consulting a dentist for their opinion. In Texas, these purchases are allowed without prior confirmation of an in-person dental examination</w:t>
          </w:r>
          <w:r>
            <w:t>.</w:t>
          </w:r>
        </w:p>
        <w:p w:rsidR="007B5399" w:rsidRPr="0072666C" w:rsidRDefault="007B5399" w:rsidP="00D83B3A">
          <w:pPr>
            <w:pStyle w:val="NormalWeb"/>
            <w:spacing w:before="0" w:beforeAutospacing="0" w:after="0" w:afterAutospacing="0"/>
            <w:jc w:val="both"/>
            <w:divId w:val="1027872556"/>
          </w:pPr>
          <w:r w:rsidRPr="0072666C">
            <w:t> </w:t>
          </w:r>
        </w:p>
        <w:p w:rsidR="007B5399" w:rsidRPr="0072666C" w:rsidRDefault="007B5399" w:rsidP="00D83B3A">
          <w:pPr>
            <w:pStyle w:val="NormalWeb"/>
            <w:spacing w:before="0" w:beforeAutospacing="0" w:after="0" w:afterAutospacing="0"/>
            <w:jc w:val="both"/>
            <w:divId w:val="1027872556"/>
          </w:pPr>
          <w:r w:rsidRPr="0072666C">
            <w:t>If a patient that is not a suitable candidate for clear aligners pursues the treatment, they may incur significant damage to their teeth. An in-person exam would demonstrate if clear aligners were an appropriate treatment option. Clear braces may not be an adequate treatment option if an individual has gum disease, short roots, or other dental conditions.</w:t>
          </w:r>
        </w:p>
        <w:p w:rsidR="007B5399" w:rsidRPr="0072666C" w:rsidRDefault="007B5399" w:rsidP="00D83B3A">
          <w:pPr>
            <w:pStyle w:val="NormalWeb"/>
            <w:spacing w:before="0" w:beforeAutospacing="0" w:after="0" w:afterAutospacing="0"/>
            <w:jc w:val="both"/>
            <w:divId w:val="1027872556"/>
          </w:pPr>
          <w:r w:rsidRPr="0072666C">
            <w:t> </w:t>
          </w:r>
        </w:p>
        <w:p w:rsidR="007B5399" w:rsidRPr="0072666C" w:rsidRDefault="007B5399" w:rsidP="00D83B3A">
          <w:pPr>
            <w:pStyle w:val="NormalWeb"/>
            <w:spacing w:before="0" w:beforeAutospacing="0" w:after="0" w:afterAutospacing="0"/>
            <w:jc w:val="both"/>
            <w:divId w:val="1027872556"/>
          </w:pPr>
          <w:r w:rsidRPr="0072666C">
            <w:t>S</w:t>
          </w:r>
          <w:r>
            <w:t>.</w:t>
          </w:r>
          <w:r w:rsidRPr="0072666C">
            <w:t>B</w:t>
          </w:r>
          <w:r>
            <w:t>.</w:t>
          </w:r>
          <w:r w:rsidRPr="0072666C">
            <w:t xml:space="preserve"> 384 classifies clear aligners as a medical device, regulated by Chapter 431 of </w:t>
          </w:r>
          <w:r>
            <w:t xml:space="preserve">the </w:t>
          </w:r>
          <w:r w:rsidRPr="0072666C">
            <w:t>Health and Safety Code. Further, the bill will ensure that patients are protected from unsafe medical practices by guaranteeing they receive adequate medical supervision. An individual cannot sell clear aligners to a person without having received confirmation that: an in-person</w:t>
          </w:r>
          <w:r>
            <w:t xml:space="preserve"> </w:t>
          </w:r>
          <w:r w:rsidRPr="0072666C">
            <w:t>examination, a review of dental x-rays, and a prescription from a supervising dentist for the clear aligners was provided. Finally, a dentist must outline the varying treatment options and the risks associated with each treatment, acquiring the patients written consent of this action.</w:t>
          </w:r>
        </w:p>
        <w:p w:rsidR="007B5399" w:rsidRPr="0072666C" w:rsidRDefault="007B5399" w:rsidP="00D83B3A">
          <w:pPr>
            <w:pStyle w:val="NormalWeb"/>
            <w:spacing w:before="0" w:beforeAutospacing="0" w:after="0" w:afterAutospacing="0"/>
            <w:jc w:val="both"/>
            <w:divId w:val="1027872556"/>
          </w:pPr>
          <w:r w:rsidRPr="0072666C">
            <w:t> </w:t>
          </w:r>
        </w:p>
        <w:p w:rsidR="007B5399" w:rsidRPr="0072666C" w:rsidRDefault="007B5399" w:rsidP="00D83B3A">
          <w:pPr>
            <w:pStyle w:val="NormalWeb"/>
            <w:spacing w:before="0" w:beforeAutospacing="0" w:after="0" w:afterAutospacing="0"/>
            <w:jc w:val="both"/>
            <w:divId w:val="1027872556"/>
          </w:pPr>
          <w:r w:rsidRPr="0072666C">
            <w:t>Key Provisions</w:t>
          </w:r>
          <w:r>
            <w:t>:</w:t>
          </w:r>
        </w:p>
        <w:p w:rsidR="007B5399" w:rsidRPr="0072666C" w:rsidRDefault="007B5399" w:rsidP="00D83B3A">
          <w:pPr>
            <w:pStyle w:val="NormalWeb"/>
            <w:spacing w:before="0" w:beforeAutospacing="0" w:after="0" w:afterAutospacing="0"/>
            <w:jc w:val="both"/>
            <w:divId w:val="1027872556"/>
          </w:pPr>
          <w:r w:rsidRPr="0072666C">
            <w:t> </w:t>
          </w:r>
        </w:p>
        <w:p w:rsidR="007B5399" w:rsidRPr="0072666C" w:rsidRDefault="007B5399" w:rsidP="00D83B3A">
          <w:pPr>
            <w:pStyle w:val="NormalWeb"/>
            <w:numPr>
              <w:ilvl w:val="0"/>
              <w:numId w:val="1"/>
            </w:numPr>
            <w:spacing w:before="0" w:beforeAutospacing="0" w:after="0" w:afterAutospacing="0"/>
            <w:jc w:val="both"/>
            <w:divId w:val="1027872556"/>
          </w:pPr>
          <w:r w:rsidRPr="0072666C">
            <w:t>S</w:t>
          </w:r>
          <w:r>
            <w:t>.</w:t>
          </w:r>
          <w:r w:rsidRPr="0072666C">
            <w:t>B</w:t>
          </w:r>
          <w:r>
            <w:t>.</w:t>
          </w:r>
          <w:r w:rsidRPr="0072666C">
            <w:t xml:space="preserve"> 384 prohibits the sale of clear aligners unless a dentist confirms a dental examination was conducted, the individual's x-rays were reviewed, and a dentist prescribes clear aligners.</w:t>
          </w:r>
        </w:p>
        <w:p w:rsidR="007B5399" w:rsidRPr="0072666C" w:rsidRDefault="007B5399" w:rsidP="00D83B3A">
          <w:pPr>
            <w:pStyle w:val="NormalWeb"/>
            <w:spacing w:before="0" w:beforeAutospacing="0" w:after="0" w:afterAutospacing="0"/>
            <w:jc w:val="both"/>
            <w:divId w:val="1027872556"/>
          </w:pPr>
          <w:r w:rsidRPr="0072666C">
            <w:t> </w:t>
          </w:r>
        </w:p>
        <w:p w:rsidR="007B5399" w:rsidRPr="0072666C" w:rsidRDefault="007B5399" w:rsidP="00D83B3A">
          <w:pPr>
            <w:pStyle w:val="NormalWeb"/>
            <w:numPr>
              <w:ilvl w:val="0"/>
              <w:numId w:val="1"/>
            </w:numPr>
            <w:spacing w:before="0" w:beforeAutospacing="0" w:after="0" w:afterAutospacing="0"/>
            <w:jc w:val="both"/>
            <w:divId w:val="1027872556"/>
          </w:pPr>
          <w:r w:rsidRPr="0072666C">
            <w:t>The bill will require dentists to outline the possible treatment options and risks associated with each treatment, documenting this interaction with the patient's signature.</w:t>
          </w:r>
        </w:p>
        <w:p w:rsidR="007B5399" w:rsidRPr="0072666C" w:rsidRDefault="007B5399" w:rsidP="00D83B3A">
          <w:pPr>
            <w:pStyle w:val="NormalWeb"/>
            <w:spacing w:before="0" w:beforeAutospacing="0" w:after="0" w:afterAutospacing="0"/>
            <w:jc w:val="both"/>
            <w:divId w:val="1027872556"/>
          </w:pPr>
          <w:r w:rsidRPr="0072666C">
            <w:t> </w:t>
          </w:r>
        </w:p>
        <w:p w:rsidR="007B5399" w:rsidRPr="0072666C" w:rsidRDefault="007B5399" w:rsidP="00D83B3A">
          <w:pPr>
            <w:pStyle w:val="NormalWeb"/>
            <w:spacing w:before="0" w:beforeAutospacing="0" w:after="0" w:afterAutospacing="0"/>
            <w:jc w:val="both"/>
            <w:divId w:val="1027872556"/>
          </w:pPr>
          <w:r w:rsidRPr="0072666C">
            <w:t>Committee Substitute Changes</w:t>
          </w:r>
          <w:r>
            <w:t>:</w:t>
          </w:r>
        </w:p>
        <w:p w:rsidR="007B5399" w:rsidRPr="0072666C" w:rsidRDefault="007B5399" w:rsidP="00D83B3A">
          <w:pPr>
            <w:pStyle w:val="NormalWeb"/>
            <w:spacing w:before="0" w:beforeAutospacing="0" w:after="0" w:afterAutospacing="0"/>
            <w:jc w:val="both"/>
            <w:divId w:val="1027872556"/>
          </w:pPr>
          <w:r w:rsidRPr="0072666C">
            <w:t> </w:t>
          </w:r>
        </w:p>
        <w:p w:rsidR="007B5399" w:rsidRPr="0072666C" w:rsidRDefault="007B5399" w:rsidP="00D83B3A">
          <w:pPr>
            <w:pStyle w:val="NormalWeb"/>
            <w:spacing w:before="0" w:beforeAutospacing="0" w:after="0" w:afterAutospacing="0"/>
            <w:jc w:val="both"/>
            <w:divId w:val="1027872556"/>
          </w:pPr>
          <w:r w:rsidRPr="0072666C">
            <w:t>C</w:t>
          </w:r>
          <w:r>
            <w:t>.</w:t>
          </w:r>
          <w:r w:rsidRPr="0072666C">
            <w:t>S</w:t>
          </w:r>
          <w:r>
            <w:t>.</w:t>
          </w:r>
          <w:r w:rsidRPr="0072666C">
            <w:t>S</w:t>
          </w:r>
          <w:r>
            <w:t>.</w:t>
          </w:r>
          <w:r w:rsidRPr="0072666C">
            <w:t>B</w:t>
          </w:r>
          <w:r>
            <w:t>.</w:t>
          </w:r>
          <w:r w:rsidRPr="0072666C">
            <w:t xml:space="preserve"> 384 amends the provision prohibiting the sale of a clear aligner unless the expressed requirements are satisfied. In this change, an individual in a contract to sell a clear aligner to a patient cannot deliver the medical device until they have received confirmation that the outlined requirements were fulfilled.</w:t>
          </w:r>
        </w:p>
        <w:p w:rsidR="007B5399" w:rsidRPr="0072666C" w:rsidRDefault="007B5399" w:rsidP="00D83B3A">
          <w:pPr>
            <w:pStyle w:val="NormalWeb"/>
            <w:spacing w:before="0" w:beforeAutospacing="0" w:after="0" w:afterAutospacing="0"/>
            <w:jc w:val="both"/>
            <w:divId w:val="1027872556"/>
          </w:pPr>
          <w:r w:rsidRPr="0072666C">
            <w:t> </w:t>
          </w:r>
        </w:p>
        <w:p w:rsidR="007B5399" w:rsidRPr="0072666C" w:rsidRDefault="007B5399" w:rsidP="00D83B3A">
          <w:pPr>
            <w:pStyle w:val="NormalWeb"/>
            <w:spacing w:before="0" w:beforeAutospacing="0" w:after="0" w:afterAutospacing="0"/>
            <w:jc w:val="both"/>
            <w:divId w:val="1027872556"/>
          </w:pPr>
          <w:r w:rsidRPr="0072666C">
            <w:t>These stipulations were revised to include a review of an individual's medical and dental history. C</w:t>
          </w:r>
          <w:r>
            <w:t>.</w:t>
          </w:r>
          <w:r w:rsidRPr="0072666C">
            <w:t>S</w:t>
          </w:r>
          <w:r>
            <w:t>.</w:t>
          </w:r>
          <w:r w:rsidRPr="0072666C">
            <w:t>S</w:t>
          </w:r>
          <w:r>
            <w:t>.</w:t>
          </w:r>
          <w:r w:rsidRPr="0072666C">
            <w:t>B</w:t>
          </w:r>
          <w:r>
            <w:t>.</w:t>
          </w:r>
          <w:r w:rsidRPr="0072666C">
            <w:t xml:space="preserve"> 384 also describes the extent of the mandated dental examination, in which a dentist must review a person's mouth, tongue, gums, lips, teeth, jaws, head, and neck.</w:t>
          </w:r>
        </w:p>
        <w:p w:rsidR="007B5399" w:rsidRPr="0072666C" w:rsidRDefault="007B5399" w:rsidP="00D83B3A">
          <w:pPr>
            <w:pStyle w:val="NormalWeb"/>
            <w:spacing w:before="0" w:beforeAutospacing="0" w:after="0" w:afterAutospacing="0"/>
            <w:jc w:val="both"/>
            <w:divId w:val="1027872556"/>
          </w:pPr>
          <w:r w:rsidRPr="0072666C">
            <w:t> </w:t>
          </w:r>
        </w:p>
        <w:p w:rsidR="007B5399" w:rsidRPr="0072666C" w:rsidRDefault="007B5399" w:rsidP="00D83B3A">
          <w:pPr>
            <w:pStyle w:val="NormalWeb"/>
            <w:spacing w:before="0" w:beforeAutospacing="0" w:after="0" w:afterAutospacing="0"/>
            <w:jc w:val="both"/>
            <w:divId w:val="1027872556"/>
          </w:pPr>
          <w:r w:rsidRPr="0072666C">
            <w:t>C</w:t>
          </w:r>
          <w:r>
            <w:t>.</w:t>
          </w:r>
          <w:r w:rsidRPr="0072666C">
            <w:t>S</w:t>
          </w:r>
          <w:r>
            <w:t>.</w:t>
          </w:r>
          <w:r w:rsidRPr="0072666C">
            <w:t>S</w:t>
          </w:r>
          <w:r>
            <w:t>.</w:t>
          </w:r>
          <w:r w:rsidRPr="0072666C">
            <w:t>B</w:t>
          </w:r>
          <w:r>
            <w:t>.</w:t>
          </w:r>
          <w:r w:rsidRPr="0072666C">
            <w:t xml:space="preserve"> 384 amends the definition of clear aligner to include the services necessary to design and manufacture these devices.</w:t>
          </w:r>
        </w:p>
        <w:p w:rsidR="007B5399" w:rsidRPr="00D70925" w:rsidRDefault="007B5399" w:rsidP="00D83B3A">
          <w:pPr>
            <w:spacing w:after="0" w:line="240" w:lineRule="auto"/>
            <w:jc w:val="both"/>
            <w:rPr>
              <w:rFonts w:eastAsia="Times New Roman" w:cs="Times New Roman"/>
              <w:bCs/>
              <w:szCs w:val="24"/>
            </w:rPr>
          </w:pPr>
        </w:p>
      </w:sdtContent>
    </w:sdt>
    <w:p w:rsidR="007B5399" w:rsidRDefault="007B539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384 </w:t>
      </w:r>
      <w:bookmarkStart w:id="1" w:name="AmendsCurrentLaw"/>
      <w:bookmarkEnd w:id="1"/>
      <w:r>
        <w:rPr>
          <w:rFonts w:cs="Times New Roman"/>
          <w:szCs w:val="24"/>
        </w:rPr>
        <w:t>amends current law relating to the sale, design, and manufacture of clear aligners.</w:t>
      </w:r>
    </w:p>
    <w:p w:rsidR="007B5399" w:rsidRDefault="007B5399" w:rsidP="000F1DF9">
      <w:pPr>
        <w:spacing w:after="0" w:line="240" w:lineRule="auto"/>
        <w:jc w:val="both"/>
        <w:rPr>
          <w:rFonts w:eastAsia="Times New Roman" w:cs="Times New Roman"/>
          <w:szCs w:val="24"/>
        </w:rPr>
      </w:pPr>
    </w:p>
    <w:p w:rsidR="007B5399" w:rsidRDefault="007B5399" w:rsidP="000F1DF9">
      <w:pPr>
        <w:spacing w:after="0" w:line="240" w:lineRule="auto"/>
        <w:jc w:val="both"/>
        <w:rPr>
          <w:rFonts w:eastAsia="Times New Roman" w:cs="Times New Roman"/>
          <w:szCs w:val="24"/>
        </w:rPr>
      </w:pPr>
    </w:p>
    <w:p w:rsidR="007B5399" w:rsidRDefault="007B5399" w:rsidP="000F1DF9">
      <w:pPr>
        <w:spacing w:after="0" w:line="240" w:lineRule="auto"/>
        <w:jc w:val="both"/>
        <w:rPr>
          <w:rFonts w:eastAsia="Times New Roman" w:cs="Times New Roman"/>
          <w:szCs w:val="24"/>
        </w:rPr>
      </w:pPr>
    </w:p>
    <w:p w:rsidR="007B5399" w:rsidRPr="0072666C" w:rsidRDefault="007B5399" w:rsidP="000F1DF9">
      <w:pPr>
        <w:spacing w:after="0" w:line="240" w:lineRule="auto"/>
        <w:jc w:val="both"/>
        <w:rPr>
          <w:rFonts w:eastAsia="Times New Roman" w:cs="Times New Roman"/>
          <w:szCs w:val="24"/>
        </w:rPr>
      </w:pPr>
    </w:p>
    <w:p w:rsidR="007B5399" w:rsidRPr="005C2A78" w:rsidRDefault="007B539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2BA3D8BAD442BDA49DD2FC83838794"/>
          </w:placeholder>
        </w:sdtPr>
        <w:sdtContent>
          <w:r>
            <w:rPr>
              <w:rFonts w:eastAsia="Times New Roman" w:cs="Times New Roman"/>
              <w:b/>
              <w:szCs w:val="24"/>
              <w:u w:val="single"/>
            </w:rPr>
            <w:t>RULEMAKING AUTHORITY</w:t>
          </w:r>
        </w:sdtContent>
      </w:sdt>
    </w:p>
    <w:p w:rsidR="007B5399" w:rsidRPr="006529C4" w:rsidRDefault="007B5399" w:rsidP="00774EC7">
      <w:pPr>
        <w:spacing w:after="0" w:line="240" w:lineRule="auto"/>
        <w:jc w:val="both"/>
        <w:rPr>
          <w:rFonts w:cs="Times New Roman"/>
          <w:szCs w:val="24"/>
        </w:rPr>
      </w:pPr>
    </w:p>
    <w:p w:rsidR="007B5399" w:rsidRPr="006529C4" w:rsidRDefault="007B539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B5399" w:rsidRPr="006529C4" w:rsidRDefault="007B5399" w:rsidP="00774EC7">
      <w:pPr>
        <w:spacing w:after="0" w:line="240" w:lineRule="auto"/>
        <w:jc w:val="both"/>
        <w:rPr>
          <w:rFonts w:cs="Times New Roman"/>
          <w:szCs w:val="24"/>
        </w:rPr>
      </w:pPr>
    </w:p>
    <w:p w:rsidR="007B5399" w:rsidRPr="005C2A78" w:rsidRDefault="007B539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1296650107486095EDA5A449904C8C"/>
          </w:placeholder>
        </w:sdtPr>
        <w:sdtContent>
          <w:r>
            <w:rPr>
              <w:rFonts w:eastAsia="Times New Roman" w:cs="Times New Roman"/>
              <w:b/>
              <w:szCs w:val="24"/>
              <w:u w:val="single"/>
            </w:rPr>
            <w:t>SECTION BY SECTION ANALYSIS</w:t>
          </w:r>
        </w:sdtContent>
      </w:sdt>
    </w:p>
    <w:p w:rsidR="007B5399" w:rsidRPr="005C2A78" w:rsidRDefault="007B5399" w:rsidP="00C15A3D">
      <w:pPr>
        <w:spacing w:after="0" w:line="240" w:lineRule="auto"/>
        <w:jc w:val="both"/>
        <w:rPr>
          <w:rFonts w:eastAsia="Times New Roman" w:cs="Times New Roman"/>
          <w:szCs w:val="24"/>
        </w:rPr>
      </w:pPr>
    </w:p>
    <w:p w:rsidR="007B5399" w:rsidRPr="0072666C" w:rsidRDefault="007B5399" w:rsidP="00C15A3D">
      <w:pPr>
        <w:spacing w:after="0" w:line="240" w:lineRule="auto"/>
        <w:jc w:val="both"/>
      </w:pPr>
      <w:r w:rsidRPr="0072666C">
        <w:rPr>
          <w:rFonts w:eastAsia="Times New Roman" w:cs="Times New Roman"/>
          <w:szCs w:val="24"/>
        </w:rPr>
        <w:t xml:space="preserve">SECTION 1. Amends </w:t>
      </w:r>
      <w:r w:rsidRPr="0072666C">
        <w:t>Subchapter B, Chapter 431, Health and Safety Code, by adding Section 431.024, as follows:</w:t>
      </w:r>
    </w:p>
    <w:p w:rsidR="007B5399" w:rsidRPr="0072666C" w:rsidRDefault="007B5399" w:rsidP="00C15A3D">
      <w:pPr>
        <w:spacing w:after="0" w:line="240" w:lineRule="auto"/>
        <w:jc w:val="both"/>
      </w:pPr>
    </w:p>
    <w:p w:rsidR="007B5399" w:rsidRPr="0072666C" w:rsidRDefault="007B5399" w:rsidP="00C15A3D">
      <w:pPr>
        <w:spacing w:after="0" w:line="240" w:lineRule="auto"/>
        <w:ind w:left="720"/>
        <w:jc w:val="both"/>
      </w:pPr>
      <w:r w:rsidRPr="0072666C">
        <w:t>Sec. 431.024. CLEAR ALIGNERS. (a) Defines "clear aligner" and "dentist."</w:t>
      </w:r>
    </w:p>
    <w:p w:rsidR="007B5399" w:rsidRPr="0072666C" w:rsidRDefault="007B5399" w:rsidP="00C15A3D">
      <w:pPr>
        <w:spacing w:after="0" w:line="240" w:lineRule="auto"/>
        <w:ind w:left="720"/>
        <w:jc w:val="both"/>
      </w:pPr>
    </w:p>
    <w:p w:rsidR="007B5399" w:rsidRPr="0072666C" w:rsidRDefault="007B5399" w:rsidP="00C15A3D">
      <w:pPr>
        <w:spacing w:after="0" w:line="240" w:lineRule="auto"/>
        <w:ind w:left="1440"/>
        <w:jc w:val="both"/>
      </w:pPr>
      <w:r w:rsidRPr="0072666C">
        <w:t>(b)  Prohibits a person from selling a clear aligner to a patient in this state or providing a service related to the design or manufacture of a clear aligner unless the person:</w:t>
      </w:r>
    </w:p>
    <w:p w:rsidR="007B5399" w:rsidRPr="0072666C" w:rsidRDefault="007B5399" w:rsidP="00C15A3D">
      <w:pPr>
        <w:spacing w:after="0" w:line="240" w:lineRule="auto"/>
        <w:ind w:left="1440"/>
        <w:jc w:val="both"/>
      </w:pPr>
    </w:p>
    <w:p w:rsidR="007B5399" w:rsidRPr="0072666C" w:rsidRDefault="007B5399" w:rsidP="00C15A3D">
      <w:pPr>
        <w:spacing w:after="0" w:line="240" w:lineRule="auto"/>
        <w:ind w:left="2160"/>
        <w:jc w:val="both"/>
      </w:pPr>
      <w:r w:rsidRPr="0072666C">
        <w:t>(1)  is a dentist who has provided the services prescribed by Subsection (c) to the patient; or</w:t>
      </w:r>
    </w:p>
    <w:p w:rsidR="007B5399" w:rsidRPr="0072666C" w:rsidRDefault="007B5399" w:rsidP="00C15A3D">
      <w:pPr>
        <w:spacing w:after="0" w:line="240" w:lineRule="auto"/>
        <w:ind w:left="2160"/>
        <w:jc w:val="both"/>
      </w:pPr>
    </w:p>
    <w:p w:rsidR="007B5399" w:rsidRPr="0072666C" w:rsidRDefault="007B5399" w:rsidP="00C15A3D">
      <w:pPr>
        <w:spacing w:after="0" w:line="240" w:lineRule="auto"/>
        <w:ind w:left="2160"/>
        <w:jc w:val="both"/>
      </w:pPr>
      <w:r w:rsidRPr="0072666C">
        <w:t>(2) receives written or electronic confirmation from a dentist who has provided the services prescribed by Subsection (c) to the patient.</w:t>
      </w:r>
    </w:p>
    <w:p w:rsidR="007B5399" w:rsidRPr="0072666C" w:rsidRDefault="007B5399" w:rsidP="00C15A3D">
      <w:pPr>
        <w:spacing w:after="0" w:line="240" w:lineRule="auto"/>
        <w:ind w:left="2160"/>
        <w:jc w:val="both"/>
      </w:pPr>
    </w:p>
    <w:p w:rsidR="007B5399" w:rsidRPr="0072666C" w:rsidRDefault="007B5399" w:rsidP="00C15A3D">
      <w:pPr>
        <w:spacing w:after="0" w:line="240" w:lineRule="auto"/>
        <w:ind w:left="1440"/>
        <w:jc w:val="both"/>
      </w:pPr>
      <w:r w:rsidRPr="0072666C">
        <w:t xml:space="preserve">(c) Prohibits a person from selling a clear aligner or providing a service related to the design or manufacture of a clear aligner to a patient in this state who has not received: </w:t>
      </w:r>
    </w:p>
    <w:p w:rsidR="007B5399" w:rsidRPr="0072666C" w:rsidRDefault="007B5399" w:rsidP="00C15A3D">
      <w:pPr>
        <w:spacing w:after="0" w:line="240" w:lineRule="auto"/>
        <w:ind w:left="1440"/>
        <w:jc w:val="both"/>
      </w:pPr>
    </w:p>
    <w:p w:rsidR="007B5399" w:rsidRPr="0072666C" w:rsidRDefault="007B5399" w:rsidP="007B5399">
      <w:pPr>
        <w:spacing w:after="0" w:line="240" w:lineRule="auto"/>
        <w:ind w:left="2160"/>
        <w:jc w:val="both"/>
      </w:pPr>
      <w:r w:rsidRPr="0072666C">
        <w:t>(1) an in-person intraoral dental examination and an examination of the patient's head and neck;</w:t>
      </w:r>
    </w:p>
    <w:p w:rsidR="007B5399" w:rsidRPr="0072666C" w:rsidRDefault="007B5399" w:rsidP="007B5399">
      <w:pPr>
        <w:spacing w:after="0" w:line="240" w:lineRule="auto"/>
        <w:ind w:left="2160"/>
        <w:jc w:val="both"/>
      </w:pPr>
    </w:p>
    <w:p w:rsidR="007B5399" w:rsidRPr="0072666C" w:rsidRDefault="007B5399" w:rsidP="007B5399">
      <w:pPr>
        <w:spacing w:after="0" w:line="240" w:lineRule="auto"/>
        <w:ind w:left="2160"/>
        <w:jc w:val="both"/>
      </w:pPr>
      <w:r w:rsidRPr="0072666C">
        <w:t>(2) a review of recently performed x-rays, panoramic x-rays, computed tomography, bone imaging scans, or other appropriate diagnostic imaging sufficient to allow the dentist to detect patient conditions that preclude or contraindicate the provision of safe orthodontic treatment, including:</w:t>
      </w:r>
    </w:p>
    <w:p w:rsidR="007B5399" w:rsidRPr="0072666C" w:rsidRDefault="007B5399" w:rsidP="007B5399">
      <w:pPr>
        <w:spacing w:after="0" w:line="240" w:lineRule="auto"/>
        <w:ind w:left="2160"/>
        <w:jc w:val="both"/>
      </w:pPr>
    </w:p>
    <w:p w:rsidR="007B5399" w:rsidRPr="0072666C" w:rsidRDefault="007B5399" w:rsidP="007B5399">
      <w:pPr>
        <w:spacing w:after="0" w:line="240" w:lineRule="auto"/>
        <w:ind w:left="720" w:firstLine="2160"/>
        <w:jc w:val="both"/>
      </w:pPr>
      <w:r w:rsidRPr="0072666C">
        <w:t>(A)  untreated caries;</w:t>
      </w:r>
    </w:p>
    <w:p w:rsidR="007B5399" w:rsidRPr="0072666C" w:rsidRDefault="007B5399" w:rsidP="007B5399">
      <w:pPr>
        <w:spacing w:after="0" w:line="240" w:lineRule="auto"/>
        <w:ind w:left="720" w:firstLine="2160"/>
        <w:jc w:val="both"/>
      </w:pPr>
    </w:p>
    <w:p w:rsidR="007B5399" w:rsidRPr="0072666C" w:rsidRDefault="007B5399" w:rsidP="007B5399">
      <w:pPr>
        <w:spacing w:after="0" w:line="240" w:lineRule="auto"/>
        <w:ind w:left="720" w:firstLine="2160"/>
        <w:jc w:val="both"/>
      </w:pPr>
      <w:r w:rsidRPr="0072666C">
        <w:t>(B)  gingivitis and periodontal disease;</w:t>
      </w:r>
    </w:p>
    <w:p w:rsidR="007B5399" w:rsidRPr="0072666C" w:rsidRDefault="007B5399" w:rsidP="007B5399">
      <w:pPr>
        <w:spacing w:after="0" w:line="240" w:lineRule="auto"/>
        <w:ind w:left="720" w:firstLine="2160"/>
        <w:jc w:val="both"/>
      </w:pPr>
    </w:p>
    <w:p w:rsidR="007B5399" w:rsidRDefault="007B5399" w:rsidP="007B5399">
      <w:pPr>
        <w:spacing w:after="0" w:line="240" w:lineRule="auto"/>
        <w:ind w:left="2880"/>
        <w:jc w:val="both"/>
      </w:pPr>
      <w:r w:rsidRPr="0072666C">
        <w:t>(C)  issues with the roots of teeth in the periodontium, including short roots;</w:t>
      </w:r>
    </w:p>
    <w:p w:rsidR="007B5399" w:rsidRPr="0072666C" w:rsidRDefault="007B5399" w:rsidP="007B5399">
      <w:pPr>
        <w:spacing w:after="0" w:line="240" w:lineRule="auto"/>
        <w:ind w:left="2880"/>
        <w:jc w:val="both"/>
      </w:pPr>
    </w:p>
    <w:p w:rsidR="007B5399" w:rsidRPr="0072666C" w:rsidRDefault="007B5399" w:rsidP="007B5399">
      <w:pPr>
        <w:spacing w:after="0" w:line="240" w:lineRule="auto"/>
        <w:ind w:left="2880"/>
        <w:jc w:val="both"/>
      </w:pPr>
      <w:r w:rsidRPr="0072666C">
        <w:t>(D)  the presence of an osseointegrated dental implant or other fixed dental appliance; or</w:t>
      </w:r>
    </w:p>
    <w:p w:rsidR="007B5399" w:rsidRPr="0072666C" w:rsidRDefault="007B5399" w:rsidP="007B5399">
      <w:pPr>
        <w:spacing w:after="0" w:line="240" w:lineRule="auto"/>
        <w:ind w:left="2880"/>
        <w:jc w:val="both"/>
      </w:pPr>
    </w:p>
    <w:p w:rsidR="007B5399" w:rsidRPr="0072666C" w:rsidRDefault="007B5399" w:rsidP="007B5399">
      <w:pPr>
        <w:spacing w:after="0" w:line="240" w:lineRule="auto"/>
        <w:ind w:left="720" w:firstLine="2160"/>
        <w:jc w:val="both"/>
      </w:pPr>
      <w:r w:rsidRPr="0072666C">
        <w:t>(E)  fractured, cracked, or split teeth or roots;</w:t>
      </w:r>
    </w:p>
    <w:p w:rsidR="007B5399" w:rsidRPr="0072666C" w:rsidRDefault="007B5399" w:rsidP="007B5399">
      <w:pPr>
        <w:spacing w:after="0" w:line="240" w:lineRule="auto"/>
        <w:ind w:left="720" w:firstLine="2160"/>
        <w:jc w:val="both"/>
      </w:pPr>
    </w:p>
    <w:p w:rsidR="007B5399" w:rsidRPr="0072666C" w:rsidRDefault="007B5399" w:rsidP="007B5399">
      <w:pPr>
        <w:spacing w:after="0" w:line="240" w:lineRule="auto"/>
        <w:ind w:left="2880"/>
        <w:jc w:val="both"/>
      </w:pPr>
      <w:r w:rsidRPr="0072666C">
        <w:t>(F) any other oral pathology or condition that precludes orthodontic treatment;</w:t>
      </w:r>
    </w:p>
    <w:p w:rsidR="007B5399" w:rsidRPr="0072666C" w:rsidRDefault="007B5399" w:rsidP="00C15A3D">
      <w:pPr>
        <w:spacing w:after="0" w:line="240" w:lineRule="auto"/>
        <w:ind w:left="720" w:firstLine="2160"/>
        <w:jc w:val="both"/>
      </w:pPr>
    </w:p>
    <w:p w:rsidR="007B5399" w:rsidRPr="0072666C" w:rsidRDefault="007B5399" w:rsidP="007B5399">
      <w:pPr>
        <w:spacing w:after="0" w:line="240" w:lineRule="auto"/>
        <w:ind w:left="720" w:firstLine="1440"/>
        <w:jc w:val="both"/>
      </w:pPr>
      <w:r w:rsidRPr="0072666C">
        <w:t>(3)  a prescription for a clear aligner issued by:</w:t>
      </w:r>
    </w:p>
    <w:p w:rsidR="007B5399" w:rsidRPr="0072666C" w:rsidRDefault="007B5399" w:rsidP="007B5399">
      <w:pPr>
        <w:spacing w:after="0" w:line="240" w:lineRule="auto"/>
        <w:ind w:left="720" w:firstLine="1440"/>
        <w:jc w:val="both"/>
      </w:pPr>
    </w:p>
    <w:p w:rsidR="007B5399" w:rsidRPr="0072666C" w:rsidRDefault="007B5399" w:rsidP="007B5399">
      <w:pPr>
        <w:spacing w:after="0" w:line="240" w:lineRule="auto"/>
        <w:ind w:left="2880"/>
        <w:jc w:val="both"/>
      </w:pPr>
      <w:r w:rsidRPr="0072666C">
        <w:t>(A)  the dentist who provided the examination described by Subdivision (1) and reviewed the appropriate diagnostic imaging described by Subdivision (2); or</w:t>
      </w:r>
    </w:p>
    <w:p w:rsidR="007B5399" w:rsidRPr="0072666C" w:rsidRDefault="007B5399" w:rsidP="007B5399">
      <w:pPr>
        <w:spacing w:after="0" w:line="240" w:lineRule="auto"/>
        <w:ind w:left="2880"/>
        <w:jc w:val="both"/>
      </w:pPr>
    </w:p>
    <w:p w:rsidR="007B5399" w:rsidRDefault="007B5399" w:rsidP="007B5399">
      <w:pPr>
        <w:spacing w:after="0" w:line="240" w:lineRule="auto"/>
        <w:ind w:left="2880"/>
        <w:jc w:val="both"/>
      </w:pPr>
      <w:r w:rsidRPr="0072666C">
        <w:t>(B)  the dentist who:</w:t>
      </w:r>
    </w:p>
    <w:p w:rsidR="007B5399" w:rsidRPr="0072666C" w:rsidRDefault="007B5399" w:rsidP="007B5399">
      <w:pPr>
        <w:spacing w:after="0" w:line="240" w:lineRule="auto"/>
        <w:ind w:left="2880"/>
        <w:jc w:val="both"/>
      </w:pPr>
    </w:p>
    <w:p w:rsidR="007B5399" w:rsidRPr="0072666C" w:rsidRDefault="007B5399" w:rsidP="007B5399">
      <w:pPr>
        <w:spacing w:after="0" w:line="240" w:lineRule="auto"/>
        <w:ind w:left="3600"/>
        <w:jc w:val="both"/>
      </w:pPr>
      <w:r w:rsidRPr="0072666C">
        <w:t>(i)  will conduct and monitor the patient's orthodontic treatment; and</w:t>
      </w:r>
    </w:p>
    <w:p w:rsidR="007B5399" w:rsidRPr="0072666C" w:rsidRDefault="007B5399" w:rsidP="007B5399">
      <w:pPr>
        <w:spacing w:after="0" w:line="240" w:lineRule="auto"/>
        <w:ind w:left="3600"/>
        <w:jc w:val="both"/>
      </w:pPr>
    </w:p>
    <w:p w:rsidR="007B5399" w:rsidRPr="0072666C" w:rsidRDefault="007B5399" w:rsidP="007B5399">
      <w:pPr>
        <w:spacing w:after="0" w:line="240" w:lineRule="auto"/>
        <w:ind w:left="720" w:firstLine="2880"/>
        <w:jc w:val="both"/>
      </w:pPr>
      <w:r w:rsidRPr="0072666C">
        <w:t>(ii)  has either:</w:t>
      </w:r>
    </w:p>
    <w:p w:rsidR="007B5399" w:rsidRPr="0072666C" w:rsidRDefault="007B5399" w:rsidP="007B5399">
      <w:pPr>
        <w:spacing w:after="0" w:line="240" w:lineRule="auto"/>
        <w:ind w:left="720" w:firstLine="2880"/>
        <w:jc w:val="both"/>
      </w:pPr>
    </w:p>
    <w:p w:rsidR="007B5399" w:rsidRPr="0072666C" w:rsidRDefault="007B5399" w:rsidP="007B5399">
      <w:pPr>
        <w:spacing w:after="0" w:line="240" w:lineRule="auto"/>
        <w:ind w:left="4320"/>
        <w:jc w:val="both"/>
      </w:pPr>
      <w:r w:rsidRPr="0072666C">
        <w:t>(a)  received a referral from the patient's dentist described by Paragraph (A); or</w:t>
      </w:r>
    </w:p>
    <w:p w:rsidR="007B5399" w:rsidRPr="0072666C" w:rsidRDefault="007B5399" w:rsidP="007B5399">
      <w:pPr>
        <w:spacing w:after="0" w:line="240" w:lineRule="auto"/>
        <w:ind w:left="4320"/>
        <w:jc w:val="both"/>
      </w:pPr>
    </w:p>
    <w:p w:rsidR="007B5399" w:rsidRPr="0072666C" w:rsidRDefault="007B5399" w:rsidP="007B5399">
      <w:pPr>
        <w:spacing w:after="0" w:line="240" w:lineRule="auto"/>
        <w:ind w:left="4320"/>
        <w:jc w:val="both"/>
      </w:pPr>
      <w:r w:rsidRPr="0072666C">
        <w:t>(b)  requested, received, and maintained clearance for orthodontic treatment from the patient's dentist described by Paragraph (A);</w:t>
      </w:r>
    </w:p>
    <w:p w:rsidR="007B5399" w:rsidRPr="0072666C" w:rsidRDefault="007B5399" w:rsidP="007B5399">
      <w:pPr>
        <w:spacing w:after="0" w:line="240" w:lineRule="auto"/>
        <w:ind w:left="4320"/>
        <w:jc w:val="both"/>
      </w:pPr>
    </w:p>
    <w:p w:rsidR="007B5399" w:rsidRPr="0072666C" w:rsidRDefault="007B5399" w:rsidP="007B5399">
      <w:pPr>
        <w:spacing w:after="0" w:line="240" w:lineRule="auto"/>
        <w:ind w:left="2160"/>
        <w:jc w:val="both"/>
      </w:pPr>
      <w:r w:rsidRPr="0072666C">
        <w:t>(4)  subject to Subsection (d), counsel by a dentist described by Subdivision (3) regarding available orthodontic treatment options and the risks associated with those treatments; and</w:t>
      </w:r>
    </w:p>
    <w:p w:rsidR="007B5399" w:rsidRPr="0072666C" w:rsidRDefault="007B5399" w:rsidP="007B5399">
      <w:pPr>
        <w:spacing w:after="0" w:line="240" w:lineRule="auto"/>
        <w:ind w:left="2160"/>
        <w:jc w:val="both"/>
      </w:pPr>
    </w:p>
    <w:p w:rsidR="007B5399" w:rsidRPr="0072666C" w:rsidRDefault="007B5399" w:rsidP="007B5399">
      <w:pPr>
        <w:spacing w:after="0" w:line="240" w:lineRule="auto"/>
        <w:ind w:left="2160"/>
        <w:jc w:val="both"/>
      </w:pPr>
      <w:r w:rsidRPr="0072666C">
        <w:t>(5) a review of the patient's medical and dental health histories.</w:t>
      </w:r>
    </w:p>
    <w:p w:rsidR="007B5399" w:rsidRPr="0072666C" w:rsidRDefault="007B5399" w:rsidP="00C15A3D">
      <w:pPr>
        <w:spacing w:after="0" w:line="240" w:lineRule="auto"/>
        <w:ind w:left="2880"/>
        <w:jc w:val="both"/>
      </w:pPr>
    </w:p>
    <w:p w:rsidR="007B5399" w:rsidRPr="0072666C" w:rsidRDefault="007B5399" w:rsidP="00C15A3D">
      <w:pPr>
        <w:spacing w:after="0" w:line="240" w:lineRule="auto"/>
        <w:ind w:left="1440"/>
        <w:jc w:val="both"/>
      </w:pPr>
      <w:r w:rsidRPr="0072666C">
        <w:t>(d)  Provides that the required counsel under Subsection (c)(4) is valid only if the patient acknowledges and verifies in writing, with the patient's signature, that the patient has received the counsel. Requires the dentist providing the required counsel to attach and maintain the patient's written acknowledgment of counsel in the patient's file.</w:t>
      </w:r>
    </w:p>
    <w:p w:rsidR="007B5399" w:rsidRPr="0072666C" w:rsidRDefault="007B5399" w:rsidP="00C15A3D">
      <w:pPr>
        <w:spacing w:after="0" w:line="240" w:lineRule="auto"/>
        <w:ind w:left="1440"/>
        <w:jc w:val="both"/>
      </w:pPr>
    </w:p>
    <w:p w:rsidR="007B5399" w:rsidRPr="0072666C" w:rsidRDefault="007B5399" w:rsidP="00C15A3D">
      <w:pPr>
        <w:spacing w:after="0" w:line="240" w:lineRule="auto"/>
        <w:ind w:left="1440"/>
        <w:jc w:val="both"/>
      </w:pPr>
      <w:r w:rsidRPr="0072666C">
        <w:t xml:space="preserve">(e)  Requires a person who sells a clear aligner to a patient or provides a service related to the design or manufacture of a clear aligner to maintain any documents received under Subsection (c) for not less than seven years after the date of sale or provision of services. </w:t>
      </w:r>
    </w:p>
    <w:p w:rsidR="007B5399" w:rsidRPr="0072666C" w:rsidRDefault="007B5399" w:rsidP="00C15A3D">
      <w:pPr>
        <w:spacing w:after="0" w:line="240" w:lineRule="auto"/>
        <w:ind w:left="1440"/>
        <w:jc w:val="both"/>
      </w:pPr>
    </w:p>
    <w:p w:rsidR="007B5399" w:rsidRPr="0072666C" w:rsidRDefault="007B5399" w:rsidP="00C15A3D">
      <w:pPr>
        <w:spacing w:after="0" w:line="240" w:lineRule="auto"/>
        <w:jc w:val="both"/>
        <w:rPr>
          <w:rFonts w:eastAsia="Times New Roman" w:cs="Times New Roman"/>
          <w:szCs w:val="24"/>
        </w:rPr>
      </w:pPr>
      <w:r w:rsidRPr="0072666C">
        <w:rPr>
          <w:rFonts w:eastAsia="Times New Roman" w:cs="Times New Roman"/>
          <w:szCs w:val="24"/>
        </w:rPr>
        <w:t>SECTION 2. Makes application of Section 431.024, Health and Safety Code, as added by this Act, prospective.</w:t>
      </w:r>
    </w:p>
    <w:p w:rsidR="007B5399" w:rsidRPr="0072666C" w:rsidRDefault="007B5399" w:rsidP="00C15A3D">
      <w:pPr>
        <w:spacing w:after="0" w:line="240" w:lineRule="auto"/>
        <w:ind w:left="720"/>
        <w:jc w:val="both"/>
        <w:rPr>
          <w:rFonts w:eastAsia="Times New Roman" w:cs="Times New Roman"/>
          <w:szCs w:val="24"/>
        </w:rPr>
      </w:pPr>
    </w:p>
    <w:p w:rsidR="007B5399" w:rsidRPr="0072666C" w:rsidRDefault="007B5399" w:rsidP="00C15A3D">
      <w:pPr>
        <w:spacing w:after="0" w:line="240" w:lineRule="auto"/>
        <w:jc w:val="both"/>
        <w:rPr>
          <w:rFonts w:eastAsia="Times New Roman" w:cs="Times New Roman"/>
          <w:szCs w:val="24"/>
        </w:rPr>
      </w:pPr>
      <w:r w:rsidRPr="0072666C">
        <w:rPr>
          <w:rFonts w:eastAsia="Times New Roman" w:cs="Times New Roman"/>
          <w:szCs w:val="24"/>
        </w:rPr>
        <w:t>SECTION 3. Effective date: September 1, 2023.</w:t>
      </w:r>
    </w:p>
    <w:p w:rsidR="007B5399" w:rsidRPr="00C8671F" w:rsidRDefault="007B5399" w:rsidP="0072666C">
      <w:pPr>
        <w:spacing w:after="0" w:line="480" w:lineRule="auto"/>
        <w:jc w:val="both"/>
        <w:rPr>
          <w:rFonts w:eastAsia="Times New Roman" w:cs="Times New Roman"/>
          <w:szCs w:val="24"/>
        </w:rPr>
      </w:pPr>
      <w:r w:rsidRPr="005C2A78">
        <w:rPr>
          <w:rFonts w:eastAsia="Times New Roman" w:cs="Times New Roman"/>
          <w:szCs w:val="24"/>
        </w:rPr>
        <w:t xml:space="preserve"> </w:t>
      </w:r>
    </w:p>
    <w:sectPr w:rsidR="007B5399"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3FF2" w:rsidRDefault="00813FF2" w:rsidP="000F1DF9">
      <w:pPr>
        <w:spacing w:after="0" w:line="240" w:lineRule="auto"/>
      </w:pPr>
      <w:r>
        <w:separator/>
      </w:r>
    </w:p>
  </w:endnote>
  <w:endnote w:type="continuationSeparator" w:id="0">
    <w:p w:rsidR="00813FF2" w:rsidRDefault="00813FF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3FF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B5399">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B5399">
                <w:rPr>
                  <w:sz w:val="20"/>
                  <w:szCs w:val="20"/>
                </w:rPr>
                <w:t>C.S.S.B. 384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B539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3FF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3FF2" w:rsidRDefault="00813FF2" w:rsidP="000F1DF9">
      <w:pPr>
        <w:spacing w:after="0" w:line="240" w:lineRule="auto"/>
      </w:pPr>
      <w:r>
        <w:separator/>
      </w:r>
    </w:p>
  </w:footnote>
  <w:footnote w:type="continuationSeparator" w:id="0">
    <w:p w:rsidR="00813FF2" w:rsidRDefault="00813FF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EA"/>
    <w:multiLevelType w:val="hybridMultilevel"/>
    <w:tmpl w:val="9994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5399"/>
    <w:rsid w:val="00813FF2"/>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0FEE0"/>
  <w15:docId w15:val="{7A3C09B0-7A87-4BDA-BFA4-E023DF38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B539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7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A224CE3F131463B9ABD3B4BDD2E5093"/>
        <w:category>
          <w:name w:val="General"/>
          <w:gallery w:val="placeholder"/>
        </w:category>
        <w:types>
          <w:type w:val="bbPlcHdr"/>
        </w:types>
        <w:behaviors>
          <w:behavior w:val="content"/>
        </w:behaviors>
        <w:guid w:val="{6B13466D-D611-4A9C-9188-FDF40805B1C2}"/>
      </w:docPartPr>
      <w:docPartBody>
        <w:p w:rsidR="00000000" w:rsidRDefault="004E6F87"/>
      </w:docPartBody>
    </w:docPart>
    <w:docPart>
      <w:docPartPr>
        <w:name w:val="D5E04A884047460B946E82AB2ADF97C9"/>
        <w:category>
          <w:name w:val="General"/>
          <w:gallery w:val="placeholder"/>
        </w:category>
        <w:types>
          <w:type w:val="bbPlcHdr"/>
        </w:types>
        <w:behaviors>
          <w:behavior w:val="content"/>
        </w:behaviors>
        <w:guid w:val="{943E809E-29A1-402F-A0A3-BA4C23116D22}"/>
      </w:docPartPr>
      <w:docPartBody>
        <w:p w:rsidR="00000000" w:rsidRDefault="004E6F87"/>
      </w:docPartBody>
    </w:docPart>
    <w:docPart>
      <w:docPartPr>
        <w:name w:val="E8E4F7725BE84F3A8D83ED4A0DB54303"/>
        <w:category>
          <w:name w:val="General"/>
          <w:gallery w:val="placeholder"/>
        </w:category>
        <w:types>
          <w:type w:val="bbPlcHdr"/>
        </w:types>
        <w:behaviors>
          <w:behavior w:val="content"/>
        </w:behaviors>
        <w:guid w:val="{832D90BC-4D97-4266-B0E0-680132978E7C}"/>
      </w:docPartPr>
      <w:docPartBody>
        <w:p w:rsidR="00000000" w:rsidRDefault="004E6F87"/>
      </w:docPartBody>
    </w:docPart>
    <w:docPart>
      <w:docPartPr>
        <w:name w:val="DADC103CC4084EA6B7966D900B8B71F8"/>
        <w:category>
          <w:name w:val="General"/>
          <w:gallery w:val="placeholder"/>
        </w:category>
        <w:types>
          <w:type w:val="bbPlcHdr"/>
        </w:types>
        <w:behaviors>
          <w:behavior w:val="content"/>
        </w:behaviors>
        <w:guid w:val="{4536B546-64AB-4A97-824C-61A33645AFAA}"/>
      </w:docPartPr>
      <w:docPartBody>
        <w:p w:rsidR="00000000" w:rsidRDefault="004E6F87"/>
      </w:docPartBody>
    </w:docPart>
    <w:docPart>
      <w:docPartPr>
        <w:name w:val="28F77882451A4E3EA7F2960A772C5D1F"/>
        <w:category>
          <w:name w:val="General"/>
          <w:gallery w:val="placeholder"/>
        </w:category>
        <w:types>
          <w:type w:val="bbPlcHdr"/>
        </w:types>
        <w:behaviors>
          <w:behavior w:val="content"/>
        </w:behaviors>
        <w:guid w:val="{BF7B302C-C4B2-4EE5-A9D8-EEB4D68785F7}"/>
      </w:docPartPr>
      <w:docPartBody>
        <w:p w:rsidR="00000000" w:rsidRDefault="004E6F87"/>
      </w:docPartBody>
    </w:docPart>
    <w:docPart>
      <w:docPartPr>
        <w:name w:val="8F5DB3D42D2D48EBA02BE52836BE5136"/>
        <w:category>
          <w:name w:val="General"/>
          <w:gallery w:val="placeholder"/>
        </w:category>
        <w:types>
          <w:type w:val="bbPlcHdr"/>
        </w:types>
        <w:behaviors>
          <w:behavior w:val="content"/>
        </w:behaviors>
        <w:guid w:val="{5E2995C4-BE1A-48CF-91BA-735C89B7BFF4}"/>
      </w:docPartPr>
      <w:docPartBody>
        <w:p w:rsidR="00000000" w:rsidRDefault="004E6F87"/>
      </w:docPartBody>
    </w:docPart>
    <w:docPart>
      <w:docPartPr>
        <w:name w:val="F562F89BB4BC4D9BB9F625D24A28DC1A"/>
        <w:category>
          <w:name w:val="General"/>
          <w:gallery w:val="placeholder"/>
        </w:category>
        <w:types>
          <w:type w:val="bbPlcHdr"/>
        </w:types>
        <w:behaviors>
          <w:behavior w:val="content"/>
        </w:behaviors>
        <w:guid w:val="{6DEE3BC2-FD28-4D3C-83BF-441BAD5BDEFB}"/>
      </w:docPartPr>
      <w:docPartBody>
        <w:p w:rsidR="00000000" w:rsidRDefault="004E6F87"/>
      </w:docPartBody>
    </w:docPart>
    <w:docPart>
      <w:docPartPr>
        <w:name w:val="C690E3EBF98F442F95679078CC87FAE2"/>
        <w:category>
          <w:name w:val="General"/>
          <w:gallery w:val="placeholder"/>
        </w:category>
        <w:types>
          <w:type w:val="bbPlcHdr"/>
        </w:types>
        <w:behaviors>
          <w:behavior w:val="content"/>
        </w:behaviors>
        <w:guid w:val="{DFC2C6E6-3ED4-4EBE-9BC6-B265A9C6BE81}"/>
      </w:docPartPr>
      <w:docPartBody>
        <w:p w:rsidR="00000000" w:rsidRDefault="004E6F87"/>
      </w:docPartBody>
    </w:docPart>
    <w:docPart>
      <w:docPartPr>
        <w:name w:val="C37DFB6BC0EC4A1E9B19263B19D451A3"/>
        <w:category>
          <w:name w:val="General"/>
          <w:gallery w:val="placeholder"/>
        </w:category>
        <w:types>
          <w:type w:val="bbPlcHdr"/>
        </w:types>
        <w:behaviors>
          <w:behavior w:val="content"/>
        </w:behaviors>
        <w:guid w:val="{0258D508-BEA3-41FB-A871-7CC485B5F009}"/>
      </w:docPartPr>
      <w:docPartBody>
        <w:p w:rsidR="00000000" w:rsidRDefault="004E6F87"/>
      </w:docPartBody>
    </w:docPart>
    <w:docPart>
      <w:docPartPr>
        <w:name w:val="E39D14950D794B5AA45B728F37F39C0C"/>
        <w:category>
          <w:name w:val="General"/>
          <w:gallery w:val="placeholder"/>
        </w:category>
        <w:types>
          <w:type w:val="bbPlcHdr"/>
        </w:types>
        <w:behaviors>
          <w:behavior w:val="content"/>
        </w:behaviors>
        <w:guid w:val="{F714CCF5-EF29-4E3F-8E52-898A2B27041B}"/>
      </w:docPartPr>
      <w:docPartBody>
        <w:p w:rsidR="00000000" w:rsidRDefault="000C6445" w:rsidP="000C6445">
          <w:pPr>
            <w:pStyle w:val="E39D14950D794B5AA45B728F37F39C0C"/>
          </w:pPr>
          <w:r w:rsidRPr="00A30DD1">
            <w:rPr>
              <w:rStyle w:val="PlaceholderText"/>
            </w:rPr>
            <w:t>Click here to enter a date.</w:t>
          </w:r>
        </w:p>
      </w:docPartBody>
    </w:docPart>
    <w:docPart>
      <w:docPartPr>
        <w:name w:val="AE3C40FB904A40FC91B1A63FDA35E088"/>
        <w:category>
          <w:name w:val="General"/>
          <w:gallery w:val="placeholder"/>
        </w:category>
        <w:types>
          <w:type w:val="bbPlcHdr"/>
        </w:types>
        <w:behaviors>
          <w:behavior w:val="content"/>
        </w:behaviors>
        <w:guid w:val="{AF16EF5B-E828-4615-8213-E7C06C5B12D6}"/>
      </w:docPartPr>
      <w:docPartBody>
        <w:p w:rsidR="00000000" w:rsidRDefault="004E6F87"/>
      </w:docPartBody>
    </w:docPart>
    <w:docPart>
      <w:docPartPr>
        <w:name w:val="FA92E1E214534BB8A93A700CB1A264DE"/>
        <w:category>
          <w:name w:val="General"/>
          <w:gallery w:val="placeholder"/>
        </w:category>
        <w:types>
          <w:type w:val="bbPlcHdr"/>
        </w:types>
        <w:behaviors>
          <w:behavior w:val="content"/>
        </w:behaviors>
        <w:guid w:val="{C07EBC2C-30B5-4AB9-BBCE-5FC01E41054A}"/>
      </w:docPartPr>
      <w:docPartBody>
        <w:p w:rsidR="00000000" w:rsidRDefault="004E6F87"/>
      </w:docPartBody>
    </w:docPart>
    <w:docPart>
      <w:docPartPr>
        <w:name w:val="381E00CBD0414ADC898D35F750052436"/>
        <w:category>
          <w:name w:val="General"/>
          <w:gallery w:val="placeholder"/>
        </w:category>
        <w:types>
          <w:type w:val="bbPlcHdr"/>
        </w:types>
        <w:behaviors>
          <w:behavior w:val="content"/>
        </w:behaviors>
        <w:guid w:val="{B384C766-18B4-46F2-9C35-A1442DC326B5}"/>
      </w:docPartPr>
      <w:docPartBody>
        <w:p w:rsidR="00000000" w:rsidRDefault="000C6445" w:rsidP="000C6445">
          <w:pPr>
            <w:pStyle w:val="381E00CBD0414ADC898D35F750052436"/>
          </w:pPr>
          <w:r>
            <w:rPr>
              <w:rFonts w:eastAsia="Times New Roman" w:cs="Times New Roman"/>
              <w:bCs/>
              <w:szCs w:val="24"/>
            </w:rPr>
            <w:t xml:space="preserve"> </w:t>
          </w:r>
        </w:p>
      </w:docPartBody>
    </w:docPart>
    <w:docPart>
      <w:docPartPr>
        <w:name w:val="3B2BA3D8BAD442BDA49DD2FC83838794"/>
        <w:category>
          <w:name w:val="General"/>
          <w:gallery w:val="placeholder"/>
        </w:category>
        <w:types>
          <w:type w:val="bbPlcHdr"/>
        </w:types>
        <w:behaviors>
          <w:behavior w:val="content"/>
        </w:behaviors>
        <w:guid w:val="{190537F9-88DE-4AF0-A795-CD40D09B4A69}"/>
      </w:docPartPr>
      <w:docPartBody>
        <w:p w:rsidR="00000000" w:rsidRDefault="004E6F87"/>
      </w:docPartBody>
    </w:docPart>
    <w:docPart>
      <w:docPartPr>
        <w:name w:val="191296650107486095EDA5A449904C8C"/>
        <w:category>
          <w:name w:val="General"/>
          <w:gallery w:val="placeholder"/>
        </w:category>
        <w:types>
          <w:type w:val="bbPlcHdr"/>
        </w:types>
        <w:behaviors>
          <w:behavior w:val="content"/>
        </w:behaviors>
        <w:guid w:val="{36A105B1-DD23-4E98-BC0E-971AC7ADC8E8}"/>
      </w:docPartPr>
      <w:docPartBody>
        <w:p w:rsidR="00000000" w:rsidRDefault="004E6F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6445"/>
    <w:rsid w:val="0011267B"/>
    <w:rsid w:val="001135F3"/>
    <w:rsid w:val="001C5F26"/>
    <w:rsid w:val="001E7483"/>
    <w:rsid w:val="00280096"/>
    <w:rsid w:val="00290C4E"/>
    <w:rsid w:val="002A4665"/>
    <w:rsid w:val="002A5E86"/>
    <w:rsid w:val="002F07B9"/>
    <w:rsid w:val="0032359E"/>
    <w:rsid w:val="00330290"/>
    <w:rsid w:val="004816E8"/>
    <w:rsid w:val="00493D6D"/>
    <w:rsid w:val="004E6F87"/>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445"/>
    <w:rPr>
      <w:color w:val="808080"/>
    </w:rPr>
  </w:style>
  <w:style w:type="paragraph" w:customStyle="1" w:styleId="E39D14950D794B5AA45B728F37F39C0C">
    <w:name w:val="E39D14950D794B5AA45B728F37F39C0C"/>
    <w:rsid w:val="000C6445"/>
    <w:pPr>
      <w:spacing w:after="160" w:line="259" w:lineRule="auto"/>
    </w:pPr>
  </w:style>
  <w:style w:type="paragraph" w:customStyle="1" w:styleId="381E00CBD0414ADC898D35F750052436">
    <w:name w:val="381E00CBD0414ADC898D35F750052436"/>
    <w:rsid w:val="000C644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925</Words>
  <Characters>5279</Characters>
  <Application>Microsoft Office Word</Application>
  <DocSecurity>0</DocSecurity>
  <Lines>43</Lines>
  <Paragraphs>12</Paragraphs>
  <ScaleCrop>false</ScaleCrop>
  <Company>Texas Legislative Council</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2023-03-17T00:17:00Z</dcterms:modified>
</cp:coreProperties>
</file>

<file path=docProps/custom.xml><?xml version="1.0" encoding="utf-8"?>
<op:Properties xmlns:vt="http://schemas.openxmlformats.org/officeDocument/2006/docPropsVTypes" xmlns:op="http://schemas.openxmlformats.org/officeDocument/2006/custom-properties"/>
</file>