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BD63C6" w14:paraId="1A63236F" w14:textId="77777777" w:rsidTr="00345119">
        <w:tc>
          <w:tcPr>
            <w:tcW w:w="9576" w:type="dxa"/>
            <w:noWrap/>
          </w:tcPr>
          <w:p w14:paraId="2D75C714" w14:textId="77777777" w:rsidR="008423E4" w:rsidRPr="0022177D" w:rsidRDefault="0020623A" w:rsidP="009963CE">
            <w:pPr>
              <w:pStyle w:val="Heading1"/>
            </w:pPr>
            <w:r w:rsidRPr="00631897">
              <w:t>BILL ANALYSIS</w:t>
            </w:r>
          </w:p>
        </w:tc>
      </w:tr>
    </w:tbl>
    <w:p w14:paraId="685312A4" w14:textId="77777777" w:rsidR="008423E4" w:rsidRPr="0022177D" w:rsidRDefault="008423E4" w:rsidP="009963CE">
      <w:pPr>
        <w:jc w:val="center"/>
      </w:pPr>
    </w:p>
    <w:p w14:paraId="55FF1C0E" w14:textId="77777777" w:rsidR="008423E4" w:rsidRPr="00B31F0E" w:rsidRDefault="008423E4" w:rsidP="009963CE"/>
    <w:p w14:paraId="36E4364E" w14:textId="77777777" w:rsidR="008423E4" w:rsidRPr="00742794" w:rsidRDefault="008423E4" w:rsidP="009963CE">
      <w:pPr>
        <w:tabs>
          <w:tab w:val="right" w:pos="9360"/>
        </w:tabs>
      </w:pPr>
    </w:p>
    <w:tbl>
      <w:tblPr>
        <w:tblW w:w="0" w:type="auto"/>
        <w:tblLayout w:type="fixed"/>
        <w:tblLook w:val="01E0" w:firstRow="1" w:lastRow="1" w:firstColumn="1" w:lastColumn="1" w:noHBand="0" w:noVBand="0"/>
      </w:tblPr>
      <w:tblGrid>
        <w:gridCol w:w="9576"/>
      </w:tblGrid>
      <w:tr w:rsidR="00BD63C6" w14:paraId="7369DBD7" w14:textId="77777777" w:rsidTr="00345119">
        <w:tc>
          <w:tcPr>
            <w:tcW w:w="9576" w:type="dxa"/>
          </w:tcPr>
          <w:p w14:paraId="6C04136B" w14:textId="7F045326" w:rsidR="008423E4" w:rsidRPr="00861995" w:rsidRDefault="0020623A" w:rsidP="009963CE">
            <w:pPr>
              <w:jc w:val="right"/>
            </w:pPr>
            <w:r>
              <w:t>S.B. 467</w:t>
            </w:r>
          </w:p>
        </w:tc>
      </w:tr>
      <w:tr w:rsidR="00BD63C6" w14:paraId="592C4442" w14:textId="77777777" w:rsidTr="00345119">
        <w:tc>
          <w:tcPr>
            <w:tcW w:w="9576" w:type="dxa"/>
          </w:tcPr>
          <w:p w14:paraId="3F23BD91" w14:textId="4679405E" w:rsidR="008423E4" w:rsidRPr="00861995" w:rsidRDefault="0020623A" w:rsidP="009963CE">
            <w:pPr>
              <w:jc w:val="right"/>
            </w:pPr>
            <w:r>
              <w:t xml:space="preserve">By: </w:t>
            </w:r>
            <w:r w:rsidR="00276240">
              <w:t>Bettencourt</w:t>
            </w:r>
          </w:p>
        </w:tc>
      </w:tr>
      <w:tr w:rsidR="00BD63C6" w14:paraId="413887AD" w14:textId="77777777" w:rsidTr="00345119">
        <w:tc>
          <w:tcPr>
            <w:tcW w:w="9576" w:type="dxa"/>
          </w:tcPr>
          <w:p w14:paraId="124376FD" w14:textId="01252507" w:rsidR="008423E4" w:rsidRPr="00861995" w:rsidRDefault="0020623A" w:rsidP="009963CE">
            <w:pPr>
              <w:jc w:val="right"/>
            </w:pPr>
            <w:r>
              <w:t>Criminal Jurisprudence</w:t>
            </w:r>
          </w:p>
        </w:tc>
      </w:tr>
      <w:tr w:rsidR="00BD63C6" w14:paraId="613E5AAC" w14:textId="77777777" w:rsidTr="00345119">
        <w:tc>
          <w:tcPr>
            <w:tcW w:w="9576" w:type="dxa"/>
          </w:tcPr>
          <w:p w14:paraId="30B9C16E" w14:textId="4D3B8DBE" w:rsidR="008423E4" w:rsidRDefault="0020623A" w:rsidP="009963CE">
            <w:pPr>
              <w:jc w:val="right"/>
            </w:pPr>
            <w:r>
              <w:t>Committee Report (Unamended)</w:t>
            </w:r>
          </w:p>
        </w:tc>
      </w:tr>
    </w:tbl>
    <w:p w14:paraId="30295DCA" w14:textId="77777777" w:rsidR="008423E4" w:rsidRDefault="008423E4" w:rsidP="009963CE">
      <w:pPr>
        <w:tabs>
          <w:tab w:val="right" w:pos="9360"/>
        </w:tabs>
      </w:pPr>
    </w:p>
    <w:p w14:paraId="3DFFD80A" w14:textId="77777777" w:rsidR="008423E4" w:rsidRDefault="008423E4" w:rsidP="009963CE"/>
    <w:p w14:paraId="1B0FC051" w14:textId="77777777" w:rsidR="008423E4" w:rsidRDefault="008423E4" w:rsidP="009963CE"/>
    <w:tbl>
      <w:tblPr>
        <w:tblW w:w="0" w:type="auto"/>
        <w:tblCellMar>
          <w:left w:w="115" w:type="dxa"/>
          <w:right w:w="115" w:type="dxa"/>
        </w:tblCellMar>
        <w:tblLook w:val="01E0" w:firstRow="1" w:lastRow="1" w:firstColumn="1" w:lastColumn="1" w:noHBand="0" w:noVBand="0"/>
      </w:tblPr>
      <w:tblGrid>
        <w:gridCol w:w="9360"/>
      </w:tblGrid>
      <w:tr w:rsidR="00BD63C6" w14:paraId="5E99E473" w14:textId="77777777" w:rsidTr="00345119">
        <w:tc>
          <w:tcPr>
            <w:tcW w:w="9576" w:type="dxa"/>
          </w:tcPr>
          <w:p w14:paraId="46519E3F" w14:textId="77777777" w:rsidR="008423E4" w:rsidRPr="00A8133F" w:rsidRDefault="0020623A" w:rsidP="009963CE">
            <w:pPr>
              <w:rPr>
                <w:b/>
              </w:rPr>
            </w:pPr>
            <w:r w:rsidRPr="009C1E9A">
              <w:rPr>
                <w:b/>
                <w:u w:val="single"/>
              </w:rPr>
              <w:t>BACKGROUND AND PURPOSE</w:t>
            </w:r>
            <w:r>
              <w:rPr>
                <w:b/>
              </w:rPr>
              <w:t xml:space="preserve"> </w:t>
            </w:r>
          </w:p>
          <w:p w14:paraId="4430A0EA" w14:textId="77777777" w:rsidR="008423E4" w:rsidRDefault="008423E4" w:rsidP="009963CE"/>
          <w:p w14:paraId="189A1C88" w14:textId="5CEC6194" w:rsidR="008423E4" w:rsidRDefault="0020623A" w:rsidP="009963CE">
            <w:pPr>
              <w:pStyle w:val="Header"/>
              <w:tabs>
                <w:tab w:val="clear" w:pos="4320"/>
                <w:tab w:val="clear" w:pos="8640"/>
              </w:tabs>
              <w:jc w:val="both"/>
            </w:pPr>
            <w:r>
              <w:t>Reports have surfaced that, s</w:t>
            </w:r>
            <w:r w:rsidR="006142EE">
              <w:t xml:space="preserve">ince </w:t>
            </w:r>
            <w:r w:rsidR="00C82D8F">
              <w:t>late</w:t>
            </w:r>
            <w:r w:rsidR="006142EE">
              <w:t xml:space="preserve"> 2021, organized criminal groups have learned how to disrupt fuel dispenser pulsers in North Texas gas pumps. The pulser controls communication between the gas pump and the terminal, which regulates the fuel flow at the pump. Criminals are breaking into gas pumps and damaging the pulser </w:t>
            </w:r>
            <w:r>
              <w:t xml:space="preserve">in order to </w:t>
            </w:r>
            <w:r w:rsidR="006142EE">
              <w:t xml:space="preserve">gain unlimited access to fuel, causing substantial financial loss. Typically, </w:t>
            </w:r>
            <w:r w:rsidR="009873A6">
              <w:t xml:space="preserve">a </w:t>
            </w:r>
            <w:r w:rsidR="006142EE">
              <w:t xml:space="preserve">suspect will disrupt the pulser while other suspects pump the stolen fuel into large auxiliary tanks. The pulser itself costs a few hundred dollars to replace or repair. </w:t>
            </w:r>
            <w:r w:rsidR="009873A6">
              <w:t xml:space="preserve">So </w:t>
            </w:r>
            <w:r w:rsidR="006142EE">
              <w:t xml:space="preserve">police officers who have caught suspects damaging </w:t>
            </w:r>
            <w:r w:rsidR="009873A6">
              <w:t xml:space="preserve">pulsers </w:t>
            </w:r>
            <w:r w:rsidR="006142EE">
              <w:t xml:space="preserve">are only able to charge </w:t>
            </w:r>
            <w:r w:rsidR="009873A6">
              <w:t xml:space="preserve">the suspects </w:t>
            </w:r>
            <w:r w:rsidR="006142EE">
              <w:t xml:space="preserve">with misdemeanor criminal mischief. S.B. 467 would amend the criminal mischief statute to clearly provide that damage to or destruction of a retail motor fuel pump is a third-degree felony. By increasing </w:t>
            </w:r>
            <w:r w:rsidR="003C2992">
              <w:t xml:space="preserve">this </w:t>
            </w:r>
            <w:r w:rsidR="006142EE">
              <w:t>penalty</w:t>
            </w:r>
            <w:r w:rsidR="003C2992">
              <w:t xml:space="preserve">, </w:t>
            </w:r>
            <w:r w:rsidR="006142EE">
              <w:t xml:space="preserve">law enforcement and prosecutors will have another tool and deterrent to reduce fuel theft. </w:t>
            </w:r>
          </w:p>
          <w:p w14:paraId="6B4559FB" w14:textId="77777777" w:rsidR="008423E4" w:rsidRPr="00E26B13" w:rsidRDefault="008423E4" w:rsidP="009963CE">
            <w:pPr>
              <w:rPr>
                <w:b/>
              </w:rPr>
            </w:pPr>
          </w:p>
        </w:tc>
      </w:tr>
      <w:tr w:rsidR="00BD63C6" w14:paraId="4E83294C" w14:textId="77777777" w:rsidTr="00345119">
        <w:tc>
          <w:tcPr>
            <w:tcW w:w="9576" w:type="dxa"/>
          </w:tcPr>
          <w:p w14:paraId="50DDE9C4" w14:textId="77777777" w:rsidR="0017725B" w:rsidRDefault="0020623A" w:rsidP="009963CE">
            <w:pPr>
              <w:rPr>
                <w:b/>
                <w:u w:val="single"/>
              </w:rPr>
            </w:pPr>
            <w:r>
              <w:rPr>
                <w:b/>
                <w:u w:val="single"/>
              </w:rPr>
              <w:t>CRIMINAL JUSTICE IMPACT</w:t>
            </w:r>
          </w:p>
          <w:p w14:paraId="6C5DE3CF" w14:textId="77777777" w:rsidR="0017725B" w:rsidRDefault="0017725B" w:rsidP="009963CE">
            <w:pPr>
              <w:rPr>
                <w:b/>
                <w:u w:val="single"/>
              </w:rPr>
            </w:pPr>
          </w:p>
          <w:p w14:paraId="7F8A7667" w14:textId="60AAB0B3" w:rsidR="004159C2" w:rsidRPr="004159C2" w:rsidRDefault="0020623A" w:rsidP="009963CE">
            <w:pPr>
              <w:jc w:val="both"/>
            </w:pPr>
            <w:r>
              <w:t>It is the committee's opinion that this</w:t>
            </w:r>
            <w:r>
              <w:t xml:space="preserve"> bill expressly does one or more of the following: creates a criminal offense, increases the punishment for an existing criminal offense or category of offenses, or changes the eligibility of a person for community supervision, parole, or mandatory supervi</w:t>
            </w:r>
            <w:r>
              <w:t>sion.</w:t>
            </w:r>
          </w:p>
          <w:p w14:paraId="44D8DC2B" w14:textId="77777777" w:rsidR="0017725B" w:rsidRPr="0017725B" w:rsidRDefault="0017725B" w:rsidP="009963CE">
            <w:pPr>
              <w:rPr>
                <w:b/>
                <w:u w:val="single"/>
              </w:rPr>
            </w:pPr>
          </w:p>
        </w:tc>
      </w:tr>
      <w:tr w:rsidR="00BD63C6" w14:paraId="1E458FEF" w14:textId="77777777" w:rsidTr="00345119">
        <w:tc>
          <w:tcPr>
            <w:tcW w:w="9576" w:type="dxa"/>
          </w:tcPr>
          <w:p w14:paraId="18D433FC" w14:textId="77777777" w:rsidR="008423E4" w:rsidRPr="00A8133F" w:rsidRDefault="0020623A" w:rsidP="009963CE">
            <w:pPr>
              <w:rPr>
                <w:b/>
              </w:rPr>
            </w:pPr>
            <w:r w:rsidRPr="009C1E9A">
              <w:rPr>
                <w:b/>
                <w:u w:val="single"/>
              </w:rPr>
              <w:t>RULEMAKING AUTHORITY</w:t>
            </w:r>
            <w:r>
              <w:rPr>
                <w:b/>
              </w:rPr>
              <w:t xml:space="preserve"> </w:t>
            </w:r>
          </w:p>
          <w:p w14:paraId="1FDB0930" w14:textId="77777777" w:rsidR="008423E4" w:rsidRDefault="008423E4" w:rsidP="009963CE"/>
          <w:p w14:paraId="0ED1C4BA" w14:textId="2074D223" w:rsidR="004159C2" w:rsidRDefault="0020623A" w:rsidP="009963C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9C60F4B" w14:textId="77777777" w:rsidR="008423E4" w:rsidRPr="00E21FDC" w:rsidRDefault="008423E4" w:rsidP="009963CE">
            <w:pPr>
              <w:rPr>
                <w:b/>
              </w:rPr>
            </w:pPr>
          </w:p>
        </w:tc>
      </w:tr>
      <w:tr w:rsidR="00BD63C6" w14:paraId="638A9FD5" w14:textId="77777777" w:rsidTr="00345119">
        <w:tc>
          <w:tcPr>
            <w:tcW w:w="9576" w:type="dxa"/>
          </w:tcPr>
          <w:p w14:paraId="6DAF7593" w14:textId="77777777" w:rsidR="008423E4" w:rsidRPr="00A8133F" w:rsidRDefault="0020623A" w:rsidP="009963CE">
            <w:pPr>
              <w:rPr>
                <w:b/>
              </w:rPr>
            </w:pPr>
            <w:r w:rsidRPr="009C1E9A">
              <w:rPr>
                <w:b/>
                <w:u w:val="single"/>
              </w:rPr>
              <w:t>ANALYSIS</w:t>
            </w:r>
            <w:r>
              <w:rPr>
                <w:b/>
              </w:rPr>
              <w:t xml:space="preserve"> </w:t>
            </w:r>
          </w:p>
          <w:p w14:paraId="7F3E799E" w14:textId="77777777" w:rsidR="008423E4" w:rsidRDefault="008423E4" w:rsidP="009963CE"/>
          <w:p w14:paraId="2CE29920" w14:textId="12060954" w:rsidR="008423E4" w:rsidRDefault="0020623A" w:rsidP="009963CE">
            <w:pPr>
              <w:pStyle w:val="Header"/>
              <w:tabs>
                <w:tab w:val="clear" w:pos="4320"/>
                <w:tab w:val="clear" w:pos="8640"/>
              </w:tabs>
              <w:jc w:val="both"/>
            </w:pPr>
            <w:r>
              <w:t xml:space="preserve">S.B. 467 amends the Penal Code to </w:t>
            </w:r>
            <w:r w:rsidR="00D40E9D">
              <w:t>increase the penalty for</w:t>
            </w:r>
            <w:r w:rsidR="00667959">
              <w:t xml:space="preserve"> the offense of</w:t>
            </w:r>
            <w:r w:rsidR="00D40E9D">
              <w:t xml:space="preserve"> </w:t>
            </w:r>
            <w:r w:rsidR="00667959" w:rsidRPr="00667959">
              <w:t>criminal mischief</w:t>
            </w:r>
            <w:r w:rsidR="00667959">
              <w:t xml:space="preserve"> </w:t>
            </w:r>
            <w:r w:rsidR="00667959" w:rsidRPr="00667959">
              <w:t>to a third</w:t>
            </w:r>
            <w:r w:rsidR="00AC4DFA">
              <w:t>-</w:t>
            </w:r>
            <w:r w:rsidR="00667959" w:rsidRPr="00667959">
              <w:t xml:space="preserve">degree felony </w:t>
            </w:r>
            <w:r w:rsidR="00667959">
              <w:t xml:space="preserve">for an actor who </w:t>
            </w:r>
            <w:r>
              <w:t>caus</w:t>
            </w:r>
            <w:r w:rsidR="00667959">
              <w:t>es</w:t>
            </w:r>
            <w:r>
              <w:t xml:space="preserve"> </w:t>
            </w:r>
            <w:r w:rsidRPr="004159C2">
              <w:t>wholly or partly impairment or disruption to a retail motor fuel pump, regardless of the amount of pecuniary loss</w:t>
            </w:r>
            <w:r w:rsidR="003527C1">
              <w:t>.</w:t>
            </w:r>
            <w:r w:rsidR="00667959">
              <w:t xml:space="preserve"> </w:t>
            </w:r>
            <w:r>
              <w:t xml:space="preserve">This provision </w:t>
            </w:r>
            <w:r w:rsidRPr="004159C2">
              <w:t xml:space="preserve">applies only to an offense committed on or after the </w:t>
            </w:r>
            <w:r>
              <w:t>bill</w:t>
            </w:r>
            <w:r w:rsidR="003C68D4">
              <w:t>'</w:t>
            </w:r>
            <w:r>
              <w:t xml:space="preserve">s </w:t>
            </w:r>
            <w:r w:rsidRPr="004159C2">
              <w:t>effective date</w:t>
            </w:r>
            <w:r>
              <w:t>.</w:t>
            </w:r>
            <w:r w:rsidR="00667959">
              <w:t xml:space="preserve"> The bill provides for the continuation of the law in effect before the bill's effective date for purposes of an offense, or any element thereof, that occurred before that date.</w:t>
            </w:r>
          </w:p>
          <w:p w14:paraId="346D6363" w14:textId="361A6006" w:rsidR="003C68D4" w:rsidRPr="00835628" w:rsidRDefault="003C68D4" w:rsidP="009963CE">
            <w:pPr>
              <w:pStyle w:val="Header"/>
              <w:tabs>
                <w:tab w:val="clear" w:pos="4320"/>
                <w:tab w:val="clear" w:pos="8640"/>
              </w:tabs>
              <w:jc w:val="both"/>
              <w:rPr>
                <w:b/>
              </w:rPr>
            </w:pPr>
          </w:p>
        </w:tc>
      </w:tr>
      <w:tr w:rsidR="00BD63C6" w14:paraId="38155B6B" w14:textId="77777777" w:rsidTr="00345119">
        <w:tc>
          <w:tcPr>
            <w:tcW w:w="9576" w:type="dxa"/>
          </w:tcPr>
          <w:p w14:paraId="5822AA89" w14:textId="77777777" w:rsidR="008423E4" w:rsidRPr="00A8133F" w:rsidRDefault="0020623A" w:rsidP="009963CE">
            <w:pPr>
              <w:rPr>
                <w:b/>
              </w:rPr>
            </w:pPr>
            <w:r w:rsidRPr="009C1E9A">
              <w:rPr>
                <w:b/>
                <w:u w:val="single"/>
              </w:rPr>
              <w:t>EFFECTIVE DATE</w:t>
            </w:r>
            <w:r>
              <w:rPr>
                <w:b/>
              </w:rPr>
              <w:t xml:space="preserve"> </w:t>
            </w:r>
          </w:p>
          <w:p w14:paraId="44F522C9" w14:textId="77777777" w:rsidR="008423E4" w:rsidRDefault="008423E4" w:rsidP="009963CE"/>
          <w:p w14:paraId="55F5218F" w14:textId="05ED3C54" w:rsidR="008423E4" w:rsidRPr="00233FDB" w:rsidRDefault="0020623A" w:rsidP="009963CE">
            <w:pPr>
              <w:pStyle w:val="Header"/>
              <w:tabs>
                <w:tab w:val="clear" w:pos="4320"/>
                <w:tab w:val="clear" w:pos="8640"/>
              </w:tabs>
              <w:jc w:val="both"/>
              <w:rPr>
                <w:b/>
              </w:rPr>
            </w:pPr>
            <w:r>
              <w:t>September 1, 2023.</w:t>
            </w:r>
          </w:p>
        </w:tc>
      </w:tr>
    </w:tbl>
    <w:p w14:paraId="2660E400" w14:textId="77777777" w:rsidR="008423E4" w:rsidRPr="00BE0E75" w:rsidRDefault="008423E4" w:rsidP="009963CE">
      <w:pPr>
        <w:jc w:val="both"/>
        <w:rPr>
          <w:rFonts w:ascii="Arial" w:hAnsi="Arial"/>
          <w:sz w:val="16"/>
          <w:szCs w:val="16"/>
        </w:rPr>
      </w:pPr>
    </w:p>
    <w:p w14:paraId="6E179C74" w14:textId="77777777" w:rsidR="004108C3" w:rsidRPr="008423E4" w:rsidRDefault="004108C3" w:rsidP="009963CE"/>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F300" w14:textId="77777777" w:rsidR="00000000" w:rsidRDefault="0020623A">
      <w:r>
        <w:separator/>
      </w:r>
    </w:p>
  </w:endnote>
  <w:endnote w:type="continuationSeparator" w:id="0">
    <w:p w14:paraId="7040B32A" w14:textId="77777777" w:rsidR="00000000" w:rsidRDefault="0020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1C8D"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BD63C6" w14:paraId="39C9773A" w14:textId="77777777" w:rsidTr="009C1E9A">
      <w:trPr>
        <w:cantSplit/>
      </w:trPr>
      <w:tc>
        <w:tcPr>
          <w:tcW w:w="0" w:type="pct"/>
        </w:tcPr>
        <w:p w14:paraId="0129A1E7" w14:textId="77777777" w:rsidR="00137D90" w:rsidRDefault="00137D90" w:rsidP="009C1E9A">
          <w:pPr>
            <w:pStyle w:val="Footer"/>
            <w:tabs>
              <w:tab w:val="clear" w:pos="8640"/>
              <w:tab w:val="right" w:pos="9360"/>
            </w:tabs>
          </w:pPr>
        </w:p>
      </w:tc>
      <w:tc>
        <w:tcPr>
          <w:tcW w:w="2395" w:type="pct"/>
        </w:tcPr>
        <w:p w14:paraId="3534B9A4" w14:textId="77777777" w:rsidR="00137D90" w:rsidRDefault="00137D90" w:rsidP="009C1E9A">
          <w:pPr>
            <w:pStyle w:val="Footer"/>
            <w:tabs>
              <w:tab w:val="clear" w:pos="8640"/>
              <w:tab w:val="right" w:pos="9360"/>
            </w:tabs>
          </w:pPr>
        </w:p>
        <w:p w14:paraId="42C28E30" w14:textId="77777777" w:rsidR="001A4310" w:rsidRDefault="001A4310" w:rsidP="009C1E9A">
          <w:pPr>
            <w:pStyle w:val="Footer"/>
            <w:tabs>
              <w:tab w:val="clear" w:pos="8640"/>
              <w:tab w:val="right" w:pos="9360"/>
            </w:tabs>
          </w:pPr>
        </w:p>
        <w:p w14:paraId="3CD5A2F7" w14:textId="77777777" w:rsidR="00137D90" w:rsidRDefault="00137D90" w:rsidP="009C1E9A">
          <w:pPr>
            <w:pStyle w:val="Footer"/>
            <w:tabs>
              <w:tab w:val="clear" w:pos="8640"/>
              <w:tab w:val="right" w:pos="9360"/>
            </w:tabs>
          </w:pPr>
        </w:p>
      </w:tc>
      <w:tc>
        <w:tcPr>
          <w:tcW w:w="2453" w:type="pct"/>
        </w:tcPr>
        <w:p w14:paraId="6AD99F84" w14:textId="77777777" w:rsidR="00137D90" w:rsidRDefault="00137D90" w:rsidP="009C1E9A">
          <w:pPr>
            <w:pStyle w:val="Footer"/>
            <w:tabs>
              <w:tab w:val="clear" w:pos="8640"/>
              <w:tab w:val="right" w:pos="9360"/>
            </w:tabs>
            <w:jc w:val="right"/>
          </w:pPr>
        </w:p>
      </w:tc>
    </w:tr>
    <w:tr w:rsidR="00BD63C6" w14:paraId="3E0895E7" w14:textId="77777777" w:rsidTr="009C1E9A">
      <w:trPr>
        <w:cantSplit/>
      </w:trPr>
      <w:tc>
        <w:tcPr>
          <w:tcW w:w="0" w:type="pct"/>
        </w:tcPr>
        <w:p w14:paraId="00EFB1AF" w14:textId="77777777" w:rsidR="00EC379B" w:rsidRDefault="00EC379B" w:rsidP="009C1E9A">
          <w:pPr>
            <w:pStyle w:val="Footer"/>
            <w:tabs>
              <w:tab w:val="clear" w:pos="8640"/>
              <w:tab w:val="right" w:pos="9360"/>
            </w:tabs>
          </w:pPr>
        </w:p>
      </w:tc>
      <w:tc>
        <w:tcPr>
          <w:tcW w:w="2395" w:type="pct"/>
        </w:tcPr>
        <w:p w14:paraId="0680303D" w14:textId="7E598A82" w:rsidR="00EC379B" w:rsidRPr="009C1E9A" w:rsidRDefault="0020623A" w:rsidP="009C1E9A">
          <w:pPr>
            <w:pStyle w:val="Footer"/>
            <w:tabs>
              <w:tab w:val="clear" w:pos="8640"/>
              <w:tab w:val="right" w:pos="9360"/>
            </w:tabs>
            <w:rPr>
              <w:rFonts w:ascii="Shruti" w:hAnsi="Shruti"/>
              <w:sz w:val="22"/>
            </w:rPr>
          </w:pPr>
          <w:r>
            <w:rPr>
              <w:rFonts w:ascii="Shruti" w:hAnsi="Shruti"/>
              <w:sz w:val="22"/>
            </w:rPr>
            <w:t>88R 30316-D</w:t>
          </w:r>
        </w:p>
      </w:tc>
      <w:tc>
        <w:tcPr>
          <w:tcW w:w="2453" w:type="pct"/>
        </w:tcPr>
        <w:p w14:paraId="7EC74755" w14:textId="3D520A87" w:rsidR="00EC379B" w:rsidRDefault="0020623A" w:rsidP="009C1E9A">
          <w:pPr>
            <w:pStyle w:val="Footer"/>
            <w:tabs>
              <w:tab w:val="clear" w:pos="8640"/>
              <w:tab w:val="right" w:pos="9360"/>
            </w:tabs>
            <w:jc w:val="right"/>
          </w:pPr>
          <w:r>
            <w:fldChar w:fldCharType="begin"/>
          </w:r>
          <w:r>
            <w:instrText xml:space="preserve"> DOCPROPERTY  OTID  \* MERGEFORMAT </w:instrText>
          </w:r>
          <w:r>
            <w:fldChar w:fldCharType="separate"/>
          </w:r>
          <w:r w:rsidR="009963CE">
            <w:t>23.133.88</w:t>
          </w:r>
          <w:r>
            <w:fldChar w:fldCharType="end"/>
          </w:r>
        </w:p>
      </w:tc>
    </w:tr>
    <w:tr w:rsidR="00BD63C6" w14:paraId="2DB673CF" w14:textId="77777777" w:rsidTr="009C1E9A">
      <w:trPr>
        <w:cantSplit/>
      </w:trPr>
      <w:tc>
        <w:tcPr>
          <w:tcW w:w="0" w:type="pct"/>
        </w:tcPr>
        <w:p w14:paraId="6A6B8978" w14:textId="77777777" w:rsidR="00EC379B" w:rsidRDefault="00EC379B" w:rsidP="009C1E9A">
          <w:pPr>
            <w:pStyle w:val="Footer"/>
            <w:tabs>
              <w:tab w:val="clear" w:pos="4320"/>
              <w:tab w:val="clear" w:pos="8640"/>
              <w:tab w:val="left" w:pos="2865"/>
            </w:tabs>
          </w:pPr>
        </w:p>
      </w:tc>
      <w:tc>
        <w:tcPr>
          <w:tcW w:w="2395" w:type="pct"/>
        </w:tcPr>
        <w:p w14:paraId="3A85B68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6B85580" w14:textId="77777777" w:rsidR="00EC379B" w:rsidRDefault="00EC379B" w:rsidP="006D504F">
          <w:pPr>
            <w:pStyle w:val="Footer"/>
            <w:rPr>
              <w:rStyle w:val="PageNumber"/>
            </w:rPr>
          </w:pPr>
        </w:p>
        <w:p w14:paraId="58B4DE06" w14:textId="77777777" w:rsidR="00EC379B" w:rsidRDefault="00EC379B" w:rsidP="009C1E9A">
          <w:pPr>
            <w:pStyle w:val="Footer"/>
            <w:tabs>
              <w:tab w:val="clear" w:pos="8640"/>
              <w:tab w:val="right" w:pos="9360"/>
            </w:tabs>
            <w:jc w:val="right"/>
          </w:pPr>
        </w:p>
      </w:tc>
    </w:tr>
    <w:tr w:rsidR="00BD63C6" w14:paraId="6B69C701" w14:textId="77777777" w:rsidTr="009C1E9A">
      <w:trPr>
        <w:cantSplit/>
        <w:trHeight w:val="323"/>
      </w:trPr>
      <w:tc>
        <w:tcPr>
          <w:tcW w:w="0" w:type="pct"/>
          <w:gridSpan w:val="3"/>
        </w:tcPr>
        <w:p w14:paraId="4B8587B1" w14:textId="77777777" w:rsidR="00EC379B" w:rsidRDefault="0020623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5CB373AE" w14:textId="77777777" w:rsidR="00EC379B" w:rsidRDefault="00EC379B" w:rsidP="009C1E9A">
          <w:pPr>
            <w:pStyle w:val="Footer"/>
            <w:tabs>
              <w:tab w:val="clear" w:pos="8640"/>
              <w:tab w:val="right" w:pos="9360"/>
            </w:tabs>
            <w:jc w:val="center"/>
          </w:pPr>
        </w:p>
      </w:tc>
    </w:tr>
  </w:tbl>
  <w:p w14:paraId="540467A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A093"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C305" w14:textId="77777777" w:rsidR="00000000" w:rsidRDefault="0020623A">
      <w:r>
        <w:separator/>
      </w:r>
    </w:p>
  </w:footnote>
  <w:footnote w:type="continuationSeparator" w:id="0">
    <w:p w14:paraId="23D95C57" w14:textId="77777777" w:rsidR="00000000" w:rsidRDefault="0020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CF32"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C8D4"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0B06"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C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3911"/>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0B5F"/>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5820"/>
    <w:rsid w:val="0020623A"/>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6240"/>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27C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4C6"/>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2992"/>
    <w:rsid w:val="003C36FD"/>
    <w:rsid w:val="003C664C"/>
    <w:rsid w:val="003C68D4"/>
    <w:rsid w:val="003D726D"/>
    <w:rsid w:val="003E0875"/>
    <w:rsid w:val="003E0BB8"/>
    <w:rsid w:val="003E6CB0"/>
    <w:rsid w:val="003E76FB"/>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59C2"/>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357B"/>
    <w:rsid w:val="00545548"/>
    <w:rsid w:val="00546923"/>
    <w:rsid w:val="00551CA6"/>
    <w:rsid w:val="00555034"/>
    <w:rsid w:val="005562B1"/>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2E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7959"/>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1D7D"/>
    <w:rsid w:val="00764786"/>
    <w:rsid w:val="00766E12"/>
    <w:rsid w:val="0077098E"/>
    <w:rsid w:val="00771287"/>
    <w:rsid w:val="0077149E"/>
    <w:rsid w:val="00776F60"/>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89A"/>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67D"/>
    <w:rsid w:val="00812BE3"/>
    <w:rsid w:val="00814516"/>
    <w:rsid w:val="00815C9D"/>
    <w:rsid w:val="008170E2"/>
    <w:rsid w:val="00823E4C"/>
    <w:rsid w:val="00827749"/>
    <w:rsid w:val="00827B7E"/>
    <w:rsid w:val="00830EEB"/>
    <w:rsid w:val="008347A9"/>
    <w:rsid w:val="00835628"/>
    <w:rsid w:val="00835E90"/>
    <w:rsid w:val="008365B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3A6"/>
    <w:rsid w:val="00987F00"/>
    <w:rsid w:val="0099403D"/>
    <w:rsid w:val="00995B0B"/>
    <w:rsid w:val="009963CE"/>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76C51"/>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4DF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D63C6"/>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2D8F"/>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E9D"/>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5C8"/>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8B552D-DCE0-4B68-9A81-3F366A9A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4357B"/>
    <w:rPr>
      <w:sz w:val="16"/>
      <w:szCs w:val="16"/>
    </w:rPr>
  </w:style>
  <w:style w:type="paragraph" w:styleId="CommentText">
    <w:name w:val="annotation text"/>
    <w:basedOn w:val="Normal"/>
    <w:link w:val="CommentTextChar"/>
    <w:semiHidden/>
    <w:unhideWhenUsed/>
    <w:rsid w:val="0054357B"/>
    <w:rPr>
      <w:sz w:val="20"/>
      <w:szCs w:val="20"/>
    </w:rPr>
  </w:style>
  <w:style w:type="character" w:customStyle="1" w:styleId="CommentTextChar">
    <w:name w:val="Comment Text Char"/>
    <w:basedOn w:val="DefaultParagraphFont"/>
    <w:link w:val="CommentText"/>
    <w:semiHidden/>
    <w:rsid w:val="0054357B"/>
  </w:style>
  <w:style w:type="paragraph" w:styleId="CommentSubject">
    <w:name w:val="annotation subject"/>
    <w:basedOn w:val="CommentText"/>
    <w:next w:val="CommentText"/>
    <w:link w:val="CommentSubjectChar"/>
    <w:semiHidden/>
    <w:unhideWhenUsed/>
    <w:rsid w:val="0054357B"/>
    <w:rPr>
      <w:b/>
      <w:bCs/>
    </w:rPr>
  </w:style>
  <w:style w:type="character" w:customStyle="1" w:styleId="CommentSubjectChar">
    <w:name w:val="Comment Subject Char"/>
    <w:basedOn w:val="CommentTextChar"/>
    <w:link w:val="CommentSubject"/>
    <w:semiHidden/>
    <w:rsid w:val="0054357B"/>
    <w:rPr>
      <w:b/>
      <w:bCs/>
    </w:rPr>
  </w:style>
  <w:style w:type="paragraph" w:styleId="Revision">
    <w:name w:val="Revision"/>
    <w:hidden/>
    <w:uiPriority w:val="99"/>
    <w:semiHidden/>
    <w:rsid w:val="00D40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1842</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SB00467 (Committee Report (Unamended))</vt:lpstr>
    </vt:vector>
  </TitlesOfParts>
  <Company>State of Texas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30316</dc:subject>
  <dc:creator>State of Texas</dc:creator>
  <dc:description>SB 467 by Bettencourt-(H)Criminal Jurisprudence</dc:description>
  <cp:lastModifiedBy>Damian Duarte</cp:lastModifiedBy>
  <cp:revision>2</cp:revision>
  <cp:lastPrinted>2003-11-26T17:21:00Z</cp:lastPrinted>
  <dcterms:created xsi:type="dcterms:W3CDTF">2023-05-16T21:11:00Z</dcterms:created>
  <dcterms:modified xsi:type="dcterms:W3CDTF">2023-05-16T21:11:00Z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23.133.88</vt:lpwstr>
  </property>
</Properties>
</file>