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79D2" w14:paraId="07D9842D" w14:textId="77777777" w:rsidTr="00345119">
        <w:tc>
          <w:tcPr>
            <w:tcW w:w="9576" w:type="dxa"/>
            <w:noWrap/>
          </w:tcPr>
          <w:p w14:paraId="670D649B" w14:textId="77777777" w:rsidR="008423E4" w:rsidRPr="0022177D" w:rsidRDefault="00DD7100" w:rsidP="0087018C">
            <w:pPr>
              <w:pStyle w:val="Heading1"/>
            </w:pPr>
            <w:r w:rsidRPr="00631897">
              <w:t>BILL ANALYSIS</w:t>
            </w:r>
          </w:p>
        </w:tc>
      </w:tr>
    </w:tbl>
    <w:p w14:paraId="3EB05B1C" w14:textId="77777777" w:rsidR="008423E4" w:rsidRPr="0022177D" w:rsidRDefault="008423E4" w:rsidP="0087018C">
      <w:pPr>
        <w:jc w:val="center"/>
      </w:pPr>
    </w:p>
    <w:p w14:paraId="0EA413D2" w14:textId="77777777" w:rsidR="008423E4" w:rsidRPr="00B31F0E" w:rsidRDefault="008423E4" w:rsidP="0087018C"/>
    <w:p w14:paraId="4799202D" w14:textId="77777777" w:rsidR="008423E4" w:rsidRPr="00742794" w:rsidRDefault="008423E4" w:rsidP="0087018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79D2" w14:paraId="7F570731" w14:textId="77777777" w:rsidTr="00345119">
        <w:tc>
          <w:tcPr>
            <w:tcW w:w="9576" w:type="dxa"/>
          </w:tcPr>
          <w:p w14:paraId="587443B9" w14:textId="77777777" w:rsidR="008423E4" w:rsidRPr="00861995" w:rsidRDefault="00DD7100" w:rsidP="0087018C">
            <w:pPr>
              <w:jc w:val="right"/>
            </w:pPr>
            <w:r>
              <w:t>S.B. 478</w:t>
            </w:r>
          </w:p>
        </w:tc>
      </w:tr>
      <w:tr w:rsidR="00D079D2" w14:paraId="67D013D6" w14:textId="77777777" w:rsidTr="00345119">
        <w:tc>
          <w:tcPr>
            <w:tcW w:w="9576" w:type="dxa"/>
          </w:tcPr>
          <w:p w14:paraId="48BBCDB9" w14:textId="77777777" w:rsidR="008423E4" w:rsidRPr="00861995" w:rsidRDefault="00DD7100" w:rsidP="0087018C">
            <w:pPr>
              <w:jc w:val="right"/>
            </w:pPr>
            <w:r>
              <w:t xml:space="preserve">By: </w:t>
            </w:r>
            <w:r w:rsidR="00394910">
              <w:t>Zaffirini</w:t>
            </w:r>
          </w:p>
        </w:tc>
      </w:tr>
      <w:tr w:rsidR="00D079D2" w14:paraId="76A1E2EC" w14:textId="77777777" w:rsidTr="00345119">
        <w:tc>
          <w:tcPr>
            <w:tcW w:w="9576" w:type="dxa"/>
          </w:tcPr>
          <w:p w14:paraId="3495EC95" w14:textId="77777777" w:rsidR="008423E4" w:rsidRPr="00861995" w:rsidRDefault="00DD7100" w:rsidP="0087018C">
            <w:pPr>
              <w:jc w:val="right"/>
            </w:pPr>
            <w:r>
              <w:t>Licensing &amp; Administrative Procedures</w:t>
            </w:r>
          </w:p>
        </w:tc>
      </w:tr>
      <w:tr w:rsidR="00D079D2" w14:paraId="6EDE76DE" w14:textId="77777777" w:rsidTr="00345119">
        <w:tc>
          <w:tcPr>
            <w:tcW w:w="9576" w:type="dxa"/>
          </w:tcPr>
          <w:p w14:paraId="3B8B6CEC" w14:textId="77777777" w:rsidR="008423E4" w:rsidRDefault="00DD7100" w:rsidP="0087018C">
            <w:pPr>
              <w:jc w:val="right"/>
            </w:pPr>
            <w:r>
              <w:t>Committee Report (Unamended)</w:t>
            </w:r>
          </w:p>
        </w:tc>
      </w:tr>
    </w:tbl>
    <w:p w14:paraId="67831A62" w14:textId="77777777" w:rsidR="008423E4" w:rsidRDefault="008423E4" w:rsidP="0087018C">
      <w:pPr>
        <w:tabs>
          <w:tab w:val="right" w:pos="9360"/>
        </w:tabs>
      </w:pPr>
    </w:p>
    <w:p w14:paraId="2B9805A2" w14:textId="77777777" w:rsidR="008423E4" w:rsidRDefault="008423E4" w:rsidP="0087018C"/>
    <w:p w14:paraId="021CDE23" w14:textId="77777777" w:rsidR="008423E4" w:rsidRDefault="008423E4" w:rsidP="0087018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79D2" w14:paraId="392277B9" w14:textId="77777777" w:rsidTr="00345119">
        <w:tc>
          <w:tcPr>
            <w:tcW w:w="9576" w:type="dxa"/>
          </w:tcPr>
          <w:p w14:paraId="2882A6BA" w14:textId="77777777" w:rsidR="008423E4" w:rsidRPr="00A8133F" w:rsidRDefault="00DD7100" w:rsidP="0087018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430863" w14:textId="77777777" w:rsidR="008423E4" w:rsidRDefault="008423E4" w:rsidP="0087018C"/>
          <w:p w14:paraId="5DEB63AC" w14:textId="77777777" w:rsidR="008423E4" w:rsidRDefault="00DD7100" w:rsidP="0087018C">
            <w:pPr>
              <w:pStyle w:val="Header"/>
              <w:jc w:val="both"/>
            </w:pPr>
            <w:r>
              <w:t xml:space="preserve">To become a certified motorcycle instructor in Texas, a person must complete the </w:t>
            </w:r>
            <w:r w:rsidR="004540B6">
              <w:t>mo</w:t>
            </w:r>
            <w:r>
              <w:t>torcycle</w:t>
            </w:r>
            <w:r w:rsidR="004540B6">
              <w:t xml:space="preserve"> o</w:t>
            </w:r>
            <w:r>
              <w:t xml:space="preserve">perator </w:t>
            </w:r>
            <w:r w:rsidR="004540B6">
              <w:t>t</w:t>
            </w:r>
            <w:r>
              <w:t xml:space="preserve">raining </w:t>
            </w:r>
            <w:r w:rsidR="004540B6">
              <w:t>i</w:t>
            </w:r>
            <w:r>
              <w:t xml:space="preserve">nstructor </w:t>
            </w:r>
            <w:r w:rsidR="004540B6">
              <w:t>p</w:t>
            </w:r>
            <w:r>
              <w:t xml:space="preserve">reparation course, which </w:t>
            </w:r>
            <w:r w:rsidR="00DF55C0">
              <w:t xml:space="preserve">the </w:t>
            </w:r>
            <w:r>
              <w:t>Texas A&amp;M Engineering</w:t>
            </w:r>
            <w:r w:rsidR="004540B6">
              <w:t xml:space="preserve"> </w:t>
            </w:r>
            <w:r>
              <w:t xml:space="preserve">Extension Service offers exclusively. </w:t>
            </w:r>
            <w:r w:rsidR="00282E9C">
              <w:t>However, h</w:t>
            </w:r>
            <w:r>
              <w:t>igh demand and limited capacity hav</w:t>
            </w:r>
            <w:r>
              <w:t>e</w:t>
            </w:r>
            <w:r w:rsidR="00B23203">
              <w:t xml:space="preserve"> </w:t>
            </w:r>
            <w:r>
              <w:t>contributed to a motorcycle instructor shortage and fewer classes for aspiring riders. Texans may</w:t>
            </w:r>
            <w:r w:rsidR="004540B6">
              <w:t xml:space="preserve"> </w:t>
            </w:r>
            <w:r>
              <w:t>opt to take a test in lieu of a training and safety course to obtain a motorcyclist license, but the</w:t>
            </w:r>
            <w:r w:rsidR="004540B6">
              <w:t xml:space="preserve"> </w:t>
            </w:r>
            <w:r>
              <w:t>National Highway Traffic Safety Administration associat</w:t>
            </w:r>
            <w:r>
              <w:t xml:space="preserve">es instructor-taught safety classes </w:t>
            </w:r>
            <w:r w:rsidR="00B668BB">
              <w:t xml:space="preserve">result in </w:t>
            </w:r>
            <w:r>
              <w:t>fewer accidents, injuries, and fatalities.</w:t>
            </w:r>
            <w:r w:rsidR="004540B6">
              <w:t xml:space="preserve"> </w:t>
            </w:r>
            <w:r>
              <w:t xml:space="preserve">S.B. 478 </w:t>
            </w:r>
            <w:r w:rsidR="004540B6">
              <w:t xml:space="preserve">seeks to increase the number of motorcycle instructors, enabling more potential motorcyclists to take training and safety classes, by providing for the authority </w:t>
            </w:r>
            <w:r>
              <w:t>the Texas Department of Licensing and</w:t>
            </w:r>
            <w:r w:rsidR="004540B6">
              <w:t xml:space="preserve"> </w:t>
            </w:r>
            <w:r>
              <w:t>Regulation</w:t>
            </w:r>
            <w:r w:rsidR="00282E9C">
              <w:t xml:space="preserve"> to approve </w:t>
            </w:r>
            <w:r w:rsidR="004540B6">
              <w:t xml:space="preserve">motorcycle operator instructor </w:t>
            </w:r>
            <w:r w:rsidR="007E0F7B">
              <w:t>training</w:t>
            </w:r>
            <w:r>
              <w:t xml:space="preserve"> course</w:t>
            </w:r>
            <w:r w:rsidR="007E0F7B">
              <w:t>s</w:t>
            </w:r>
            <w:r>
              <w:t xml:space="preserve">. </w:t>
            </w:r>
            <w:r w:rsidR="004540B6">
              <w:t xml:space="preserve">The bill also revises certain provisions relating to </w:t>
            </w:r>
            <w:r>
              <w:t>requirements for the issuance of certain driver's licenses</w:t>
            </w:r>
            <w:r w:rsidR="00B23203">
              <w:t>,</w:t>
            </w:r>
            <w:r w:rsidR="004540B6">
              <w:t xml:space="preserve"> </w:t>
            </w:r>
            <w:r>
              <w:t xml:space="preserve">commercial driver's licenses, </w:t>
            </w:r>
            <w:r w:rsidR="00B23203">
              <w:t xml:space="preserve">and </w:t>
            </w:r>
            <w:r>
              <w:t>an occupational license.</w:t>
            </w:r>
          </w:p>
          <w:p w14:paraId="674ABC30" w14:textId="51B312F7" w:rsidR="0087018C" w:rsidRPr="00E26B13" w:rsidRDefault="0087018C" w:rsidP="0087018C">
            <w:pPr>
              <w:pStyle w:val="Header"/>
              <w:jc w:val="both"/>
              <w:rPr>
                <w:b/>
              </w:rPr>
            </w:pPr>
          </w:p>
        </w:tc>
      </w:tr>
      <w:tr w:rsidR="00D079D2" w14:paraId="2504E402" w14:textId="77777777" w:rsidTr="00345119">
        <w:tc>
          <w:tcPr>
            <w:tcW w:w="9576" w:type="dxa"/>
          </w:tcPr>
          <w:p w14:paraId="7A57B877" w14:textId="77777777" w:rsidR="0017725B" w:rsidRDefault="00DD7100" w:rsidP="008701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4C9948" w14:textId="77777777" w:rsidR="0017725B" w:rsidRDefault="0017725B" w:rsidP="0087018C">
            <w:pPr>
              <w:rPr>
                <w:b/>
                <w:u w:val="single"/>
              </w:rPr>
            </w:pPr>
          </w:p>
          <w:p w14:paraId="18C02632" w14:textId="77777777" w:rsidR="0017725B" w:rsidRDefault="00DD7100" w:rsidP="0087018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00ED272F" w14:textId="2A5BA470" w:rsidR="0087018C" w:rsidRPr="0017725B" w:rsidRDefault="0087018C" w:rsidP="0087018C">
            <w:pPr>
              <w:jc w:val="both"/>
              <w:rPr>
                <w:b/>
                <w:u w:val="single"/>
              </w:rPr>
            </w:pPr>
          </w:p>
        </w:tc>
      </w:tr>
      <w:tr w:rsidR="00D079D2" w14:paraId="4D17AD88" w14:textId="77777777" w:rsidTr="00345119">
        <w:tc>
          <w:tcPr>
            <w:tcW w:w="9576" w:type="dxa"/>
          </w:tcPr>
          <w:p w14:paraId="47ABE177" w14:textId="77777777" w:rsidR="008423E4" w:rsidRPr="00A8133F" w:rsidRDefault="00DD7100" w:rsidP="0087018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F5752D" w14:textId="77777777" w:rsidR="008423E4" w:rsidRDefault="008423E4" w:rsidP="0087018C"/>
          <w:p w14:paraId="6852DFFA" w14:textId="77777777" w:rsidR="008423E4" w:rsidRDefault="00DD7100" w:rsidP="008701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464639">
              <w:t xml:space="preserve">Texas Commission of Licensing and Regulation </w:t>
            </w:r>
            <w:r>
              <w:t>in SECTION</w:t>
            </w:r>
            <w:r w:rsidR="005863FD">
              <w:t>S</w:t>
            </w:r>
            <w:r>
              <w:t xml:space="preserve"> </w:t>
            </w:r>
            <w:r w:rsidR="00C47898">
              <w:t>8</w:t>
            </w:r>
            <w:r w:rsidR="005863FD">
              <w:t xml:space="preserve"> and 10</w:t>
            </w:r>
            <w:r>
              <w:t xml:space="preserve"> of this bill.</w:t>
            </w:r>
          </w:p>
          <w:p w14:paraId="382A62A9" w14:textId="05CB6E4B" w:rsidR="0087018C" w:rsidRPr="00E21FDC" w:rsidRDefault="0087018C" w:rsidP="0087018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079D2" w14:paraId="5876B283" w14:textId="77777777" w:rsidTr="00345119">
        <w:tc>
          <w:tcPr>
            <w:tcW w:w="9576" w:type="dxa"/>
          </w:tcPr>
          <w:p w14:paraId="206926D4" w14:textId="4E676485" w:rsidR="008423E4" w:rsidRDefault="00DD7100" w:rsidP="0087018C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E84B09">
              <w:rPr>
                <w:b/>
              </w:rPr>
              <w:t xml:space="preserve"> </w:t>
            </w:r>
            <w:r w:rsidR="00FA6D6F">
              <w:rPr>
                <w:b/>
              </w:rPr>
              <w:t xml:space="preserve"> </w:t>
            </w:r>
          </w:p>
          <w:p w14:paraId="6F880EF7" w14:textId="77777777" w:rsidR="0087018C" w:rsidRDefault="0087018C" w:rsidP="0087018C">
            <w:pPr>
              <w:jc w:val="both"/>
              <w:rPr>
                <w:b/>
              </w:rPr>
            </w:pPr>
          </w:p>
          <w:p w14:paraId="60F6016F" w14:textId="7E440220" w:rsidR="00B23203" w:rsidRDefault="00DD7100" w:rsidP="0087018C">
            <w:pPr>
              <w:jc w:val="both"/>
            </w:pPr>
            <w:r>
              <w:t xml:space="preserve">S.B. 478 amends the Transportation Code to revise the eligibility requirements to apply for an </w:t>
            </w:r>
            <w:r w:rsidRPr="00CD07FA">
              <w:t xml:space="preserve">instructor license </w:t>
            </w:r>
            <w:r w:rsidR="0053058B">
              <w:t xml:space="preserve">regarding motorcycle operation and safety </w:t>
            </w:r>
            <w:r>
              <w:t>as follows:</w:t>
            </w:r>
          </w:p>
          <w:p w14:paraId="58A1F94E" w14:textId="121284C8" w:rsidR="00B23203" w:rsidRDefault="00DD7100" w:rsidP="0087018C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removes the requirement that the applicant </w:t>
            </w:r>
            <w:r w:rsidRPr="00CD07FA">
              <w:t>have completed a</w:t>
            </w:r>
            <w:r>
              <w:t xml:space="preserve"> </w:t>
            </w:r>
            <w:r w:rsidRPr="00CD07FA">
              <w:t xml:space="preserve">program </w:t>
            </w:r>
            <w:r w:rsidR="009B74E2">
              <w:t>approved by the Texas Commission o</w:t>
            </w:r>
            <w:r w:rsidR="00353138">
              <w:t>f</w:t>
            </w:r>
            <w:r w:rsidR="009B74E2">
              <w:t xml:space="preserve"> Licensing and Regulation (TCLR) </w:t>
            </w:r>
            <w:r w:rsidRPr="00CD07FA">
              <w:t>on motorcycle operator training and safety instruction administered by the Texas A&amp;M Engineering Extension Service</w:t>
            </w:r>
            <w:r>
              <w:t>;</w:t>
            </w:r>
          </w:p>
          <w:p w14:paraId="582F87EA" w14:textId="6B7CA992" w:rsidR="00B23203" w:rsidRDefault="00DD7100" w:rsidP="0087018C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remo</w:t>
            </w:r>
            <w:r>
              <w:t xml:space="preserve">ves the requirement that the applicant </w:t>
            </w:r>
            <w:r w:rsidRPr="00CD07FA">
              <w:t>have accumulated less than 10 points under the driver responsibility program</w:t>
            </w:r>
            <w:r w:rsidR="009B74E2">
              <w:t>; and</w:t>
            </w:r>
          </w:p>
          <w:p w14:paraId="71E39FE5" w14:textId="13228108" w:rsidR="009B74E2" w:rsidRDefault="00DD7100" w:rsidP="0087018C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instead requires the applicant to </w:t>
            </w:r>
            <w:r w:rsidRPr="00CD07FA">
              <w:t>have completed a</w:t>
            </w:r>
            <w:r>
              <w:t>n</w:t>
            </w:r>
            <w:r w:rsidRPr="00CD07FA">
              <w:t xml:space="preserve"> instructor</w:t>
            </w:r>
            <w:r>
              <w:t xml:space="preserve"> training course approved by the Texas Department of Licensing and Regula</w:t>
            </w:r>
            <w:r>
              <w:t>tion (TDLR).</w:t>
            </w:r>
          </w:p>
          <w:p w14:paraId="043C2236" w14:textId="288239BB" w:rsidR="007D1505" w:rsidRDefault="00DD7100" w:rsidP="0087018C">
            <w:pPr>
              <w:jc w:val="both"/>
            </w:pPr>
            <w:r>
              <w:t xml:space="preserve">The bill defines </w:t>
            </w:r>
            <w:r w:rsidR="00353138">
              <w:t xml:space="preserve">"instructor training course" as a course offered by an instructor training provider to prepare an individual for licensure as an instructor and defines "instructor training provider" as an individual who holds a license that entitles the individual to offer and conduct instructor training courses for consideration. </w:t>
            </w:r>
            <w:r w:rsidR="00076FE8">
              <w:t xml:space="preserve">The bill </w:t>
            </w:r>
            <w:r w:rsidR="001E7147">
              <w:t xml:space="preserve">updates </w:t>
            </w:r>
            <w:r w:rsidR="00076FE8">
              <w:t xml:space="preserve">the definition of "motorcycle school" to remove the </w:t>
            </w:r>
            <w:r w:rsidR="000C4EC9">
              <w:t>specification that the applicable courses are offered as part of the motorcycle operator training and safety program.</w:t>
            </w:r>
          </w:p>
          <w:p w14:paraId="0A7AD8B3" w14:textId="77777777" w:rsidR="007D1505" w:rsidRDefault="007D1505" w:rsidP="0087018C">
            <w:pPr>
              <w:jc w:val="both"/>
            </w:pPr>
          </w:p>
          <w:p w14:paraId="5530DD73" w14:textId="26D7424E" w:rsidR="007D1505" w:rsidRDefault="00DD7100" w:rsidP="0087018C">
            <w:pPr>
              <w:jc w:val="both"/>
            </w:pPr>
            <w:r>
              <w:t>S.B. 47</w:t>
            </w:r>
            <w:r>
              <w:t xml:space="preserve">8 prohibits an individual from offering or conducting an instructor training course unless the individual </w:t>
            </w:r>
            <w:r w:rsidRPr="005D14A5">
              <w:t>hold</w:t>
            </w:r>
            <w:r>
              <w:t xml:space="preserve">s </w:t>
            </w:r>
            <w:r w:rsidRPr="005D14A5">
              <w:t xml:space="preserve">an instructor training provider license issued by </w:t>
            </w:r>
            <w:r>
              <w:t>TDLR. An</w:t>
            </w:r>
            <w:r w:rsidRPr="00D92399">
              <w:t xml:space="preserve"> instructor training course</w:t>
            </w:r>
            <w:r>
              <w:t xml:space="preserve"> must be approved by TDLR, offered and conducted in accorda</w:t>
            </w:r>
            <w:r>
              <w:t xml:space="preserve">nce with TCLR rules, and conducted at a motorcycle school. The bill requires TCLR by rule to </w:t>
            </w:r>
            <w:r w:rsidRPr="00D92399">
              <w:t xml:space="preserve">establish minimum curriculum standards for </w:t>
            </w:r>
            <w:r>
              <w:t xml:space="preserve">an </w:t>
            </w:r>
            <w:r w:rsidRPr="00D92399">
              <w:t>instructor training course to be offered to meet</w:t>
            </w:r>
            <w:r>
              <w:t xml:space="preserve"> TDLR licensing requirements.</w:t>
            </w:r>
          </w:p>
          <w:p w14:paraId="08CB7B4C" w14:textId="77777777" w:rsidR="00353138" w:rsidRDefault="00353138" w:rsidP="0087018C">
            <w:pPr>
              <w:jc w:val="both"/>
            </w:pPr>
          </w:p>
          <w:p w14:paraId="2042C20B" w14:textId="58E47F84" w:rsidR="00353138" w:rsidRDefault="00DD7100" w:rsidP="0087018C">
            <w:pPr>
              <w:jc w:val="both"/>
            </w:pPr>
            <w:r>
              <w:t xml:space="preserve">S.B. 478 prohibits TDLR from issuing </w:t>
            </w:r>
            <w:r w:rsidRPr="00415B8A">
              <w:t>a</w:t>
            </w:r>
            <w:r w:rsidRPr="00415B8A">
              <w:t>n instructor license or instructor training provider license to an individual who has been convicted of</w:t>
            </w:r>
            <w:r>
              <w:t xml:space="preserve"> the following</w:t>
            </w:r>
            <w:r w:rsidR="00AF4707">
              <w:t xml:space="preserve"> violations or</w:t>
            </w:r>
            <w:r>
              <w:t xml:space="preserve"> offenses:</w:t>
            </w:r>
          </w:p>
          <w:p w14:paraId="6B0BF3AC" w14:textId="4047C33E" w:rsidR="00C47898" w:rsidRDefault="00DD7100" w:rsidP="0087018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during the preceding three years, three or more moving violations or a comparable offense committed in another sta</w:t>
            </w:r>
            <w:r>
              <w:t>te, including violations that resulted in an accident;</w:t>
            </w:r>
          </w:p>
          <w:p w14:paraId="0EB42D03" w14:textId="2DC6D9B2" w:rsidR="00353138" w:rsidRDefault="00DD7100" w:rsidP="0087018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during the preceding three years, two or more moving violations or a comparable offense committed in another state that resulted in an accident; or</w:t>
            </w:r>
          </w:p>
          <w:p w14:paraId="312F809E" w14:textId="47744031" w:rsidR="00353138" w:rsidRDefault="00DD7100" w:rsidP="0087018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during the preceding seven years, an</w:t>
            </w:r>
            <w:r w:rsidR="00C47898">
              <w:t>y offense relating to</w:t>
            </w:r>
            <w:r>
              <w:t xml:space="preserve"> </w:t>
            </w:r>
            <w:r w:rsidRPr="00415B8A">
              <w:t xml:space="preserve">intoxication </w:t>
            </w:r>
            <w:r w:rsidR="00C47898">
              <w:t>or</w:t>
            </w:r>
            <w:r w:rsidRPr="00415B8A">
              <w:t xml:space="preserve"> alcoholic beverage</w:t>
            </w:r>
            <w:r w:rsidR="00C47898">
              <w:t>s</w:t>
            </w:r>
            <w:r>
              <w:t>, other than public intoxication</w:t>
            </w:r>
            <w:r w:rsidR="0087018C">
              <w:t xml:space="preserve"> or </w:t>
            </w:r>
            <w:r w:rsidRPr="00415B8A">
              <w:t xml:space="preserve">possession of </w:t>
            </w:r>
            <w:r w:rsidR="00C47898">
              <w:t xml:space="preserve">an </w:t>
            </w:r>
            <w:r w:rsidRPr="00415B8A">
              <w:t xml:space="preserve">alcoholic beverage in </w:t>
            </w:r>
            <w:r w:rsidR="00C47898">
              <w:t xml:space="preserve">a </w:t>
            </w:r>
            <w:r w:rsidRPr="00415B8A">
              <w:t>motor vehicle</w:t>
            </w:r>
            <w:r w:rsidR="00C47898">
              <w:t>,</w:t>
            </w:r>
            <w:r>
              <w:t xml:space="preserve"> or a comparable offense committed in another state</w:t>
            </w:r>
            <w:r w:rsidR="00C47898">
              <w:t>.</w:t>
            </w:r>
          </w:p>
          <w:p w14:paraId="55EC06BC" w14:textId="2ABF5072" w:rsidR="00353138" w:rsidRDefault="00DD7100" w:rsidP="0087018C">
            <w:pPr>
              <w:jc w:val="both"/>
            </w:pPr>
            <w:r>
              <w:t xml:space="preserve">The bill authorizes TCLR by rule to </w:t>
            </w:r>
            <w:r w:rsidRPr="00CD07FA">
              <w:t>adopt additional requirements for re</w:t>
            </w:r>
            <w:r w:rsidRPr="00CD07FA">
              <w:t>newal of an instructor license.</w:t>
            </w:r>
            <w:r w:rsidR="001B0B82">
              <w:t xml:space="preserve"> The bill </w:t>
            </w:r>
            <w:r>
              <w:t>requires an applicant</w:t>
            </w:r>
            <w:r w:rsidR="00C47898">
              <w:t>,</w:t>
            </w:r>
            <w:r>
              <w:t xml:space="preserve"> to be </w:t>
            </w:r>
            <w:r w:rsidRPr="00415B8A">
              <w:t>eligible for the issuance or renewal of an instructor training provider license</w:t>
            </w:r>
            <w:r w:rsidR="00C47898">
              <w:t>,</w:t>
            </w:r>
            <w:r>
              <w:t xml:space="preserve"> to </w:t>
            </w:r>
            <w:r w:rsidRPr="00415B8A">
              <w:t xml:space="preserve">have held for the two years preceding the date of submitting the application a valid driver's license </w:t>
            </w:r>
            <w:r w:rsidRPr="00415B8A">
              <w:t>that entitles the applicant to operate a motorcycle on a public road</w:t>
            </w:r>
            <w:r>
              <w:t xml:space="preserve"> </w:t>
            </w:r>
            <w:r w:rsidRPr="00415B8A">
              <w:t>and</w:t>
            </w:r>
            <w:r>
              <w:t xml:space="preserve"> </w:t>
            </w:r>
            <w:r w:rsidR="00A37AAB">
              <w:t xml:space="preserve">to </w:t>
            </w:r>
            <w:r w:rsidRPr="00415B8A">
              <w:t xml:space="preserve">meet any additional requirement adopted by </w:t>
            </w:r>
            <w:r w:rsidR="00A37AAB">
              <w:t xml:space="preserve">TCLR </w:t>
            </w:r>
            <w:r w:rsidRPr="00415B8A">
              <w:t>rule, including a requirement to hold a license or certification or pass an examination.</w:t>
            </w:r>
          </w:p>
          <w:p w14:paraId="4CD8D005" w14:textId="77777777" w:rsidR="009B74E2" w:rsidRDefault="009B74E2" w:rsidP="0087018C">
            <w:pPr>
              <w:jc w:val="both"/>
            </w:pPr>
          </w:p>
          <w:p w14:paraId="79E708F2" w14:textId="7F45E199" w:rsidR="00C945EC" w:rsidRDefault="00DD7100" w:rsidP="0087018C">
            <w:pPr>
              <w:jc w:val="both"/>
            </w:pPr>
            <w:r>
              <w:t>S.B. 478</w:t>
            </w:r>
            <w:r w:rsidR="001E7147">
              <w:t>,</w:t>
            </w:r>
            <w:r w:rsidR="007968AA">
              <w:t xml:space="preserve"> </w:t>
            </w:r>
            <w:r w:rsidR="00147001">
              <w:t>in provisions that take effect September 1, 2023,</w:t>
            </w:r>
            <w:r w:rsidR="001A0FB2" w:rsidRPr="001A0FB2">
              <w:t xml:space="preserve"> </w:t>
            </w:r>
            <w:r w:rsidR="001E7147">
              <w:t xml:space="preserve">exempts </w:t>
            </w:r>
            <w:r w:rsidR="001E7147" w:rsidRPr="001A0FB2">
              <w:t>a person</w:t>
            </w:r>
            <w:r w:rsidR="001E7147">
              <w:t xml:space="preserve"> </w:t>
            </w:r>
            <w:r w:rsidR="001A0FB2" w:rsidRPr="001A0FB2">
              <w:t>who holds a valid driver's license issued by another state that includes an authorization to operate a motorcycle</w:t>
            </w:r>
            <w:r w:rsidR="001A0FB2">
              <w:t xml:space="preserve"> </w:t>
            </w:r>
            <w:r w:rsidR="007968AA">
              <w:t>from</w:t>
            </w:r>
            <w:r>
              <w:t xml:space="preserve"> the following:</w:t>
            </w:r>
          </w:p>
          <w:p w14:paraId="6DBE8ED6" w14:textId="1F64AFC3" w:rsidR="00C945EC" w:rsidRDefault="00DD7100" w:rsidP="0087018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license application requirements </w:t>
            </w:r>
            <w:r w:rsidR="007968AA" w:rsidRPr="007968AA">
              <w:t xml:space="preserve">for </w:t>
            </w:r>
            <w:r>
              <w:t xml:space="preserve">a </w:t>
            </w:r>
            <w:r w:rsidR="007968AA">
              <w:t>C</w:t>
            </w:r>
            <w:r w:rsidR="007968AA" w:rsidRPr="007968AA">
              <w:t xml:space="preserve">lass </w:t>
            </w:r>
            <w:r w:rsidR="007968AA">
              <w:t>M</w:t>
            </w:r>
            <w:r w:rsidR="007968AA" w:rsidRPr="007968AA">
              <w:t xml:space="preserve"> license or </w:t>
            </w:r>
            <w:r>
              <w:t xml:space="preserve">other license that includes an </w:t>
            </w:r>
            <w:r w:rsidR="007968AA" w:rsidRPr="007968AA">
              <w:t>authorization to operate motorcyc</w:t>
            </w:r>
            <w:r w:rsidR="001A0FB2">
              <w:t>le</w:t>
            </w:r>
            <w:r w:rsidR="001B0B82">
              <w:t>;</w:t>
            </w:r>
            <w:r w:rsidR="001A0FB2">
              <w:t xml:space="preserve"> </w:t>
            </w:r>
          </w:p>
          <w:p w14:paraId="76C8E2B7" w14:textId="1ABD91C1" w:rsidR="00C945EC" w:rsidRDefault="00DD7100" w:rsidP="0087018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the requirement to complete and pass an applicable</w:t>
            </w:r>
            <w:r w:rsidR="007968AA">
              <w:t xml:space="preserve"> </w:t>
            </w:r>
            <w:r w:rsidR="000A3E9E">
              <w:t>driver education</w:t>
            </w:r>
            <w:r>
              <w:t xml:space="preserve"> course;</w:t>
            </w:r>
            <w:r w:rsidR="000A3E9E">
              <w:t xml:space="preserve"> </w:t>
            </w:r>
            <w:r w:rsidR="00147001">
              <w:t>and</w:t>
            </w:r>
          </w:p>
          <w:p w14:paraId="4B6F5517" w14:textId="25D71362" w:rsidR="00FF2D25" w:rsidRDefault="00DD7100" w:rsidP="0087018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requirements for</w:t>
            </w:r>
            <w:r w:rsidR="000A3E9E">
              <w:t xml:space="preserve"> </w:t>
            </w:r>
            <w:r w:rsidR="001A0FB2">
              <w:t xml:space="preserve">an </w:t>
            </w:r>
            <w:r w:rsidR="00371882">
              <w:t xml:space="preserve">application </w:t>
            </w:r>
            <w:r>
              <w:t xml:space="preserve">for an original commercial driver's license that includes an </w:t>
            </w:r>
            <w:r w:rsidR="00371882">
              <w:t>authorization to operate a motorcycle</w:t>
            </w:r>
            <w:r w:rsidR="001A0FB2">
              <w:t>.</w:t>
            </w:r>
            <w:r w:rsidR="00250F9B">
              <w:t xml:space="preserve"> </w:t>
            </w:r>
          </w:p>
          <w:p w14:paraId="2E1C99E9" w14:textId="77777777" w:rsidR="001A0FB2" w:rsidRDefault="001A0FB2" w:rsidP="0087018C">
            <w:pPr>
              <w:jc w:val="both"/>
            </w:pPr>
          </w:p>
          <w:p w14:paraId="34F0CC20" w14:textId="6BF53768" w:rsidR="00FF2D25" w:rsidRDefault="00DD7100" w:rsidP="0087018C">
            <w:pPr>
              <w:jc w:val="both"/>
            </w:pPr>
            <w:r>
              <w:t xml:space="preserve">S.B. 478 authorizes TCLR to </w:t>
            </w:r>
            <w:r w:rsidRPr="00E84B09">
              <w:t xml:space="preserve">set fees in amounts reasonable and necessary to cover </w:t>
            </w:r>
            <w:r>
              <w:t xml:space="preserve">the </w:t>
            </w:r>
            <w:r w:rsidR="00987047">
              <w:t xml:space="preserve">costs of </w:t>
            </w:r>
            <w:r>
              <w:t>issuance</w:t>
            </w:r>
            <w:r w:rsidR="00987047">
              <w:t xml:space="preserve"> and</w:t>
            </w:r>
            <w:r>
              <w:t xml:space="preserve"> renewal </w:t>
            </w:r>
            <w:r w:rsidR="00987047">
              <w:t xml:space="preserve">of instructor training provider licenses and the </w:t>
            </w:r>
            <w:r>
              <w:t xml:space="preserve">approval </w:t>
            </w:r>
            <w:r w:rsidR="00987047">
              <w:t xml:space="preserve">of </w:t>
            </w:r>
            <w:r>
              <w:t>motorcycle operation and safety courses</w:t>
            </w:r>
            <w:r w:rsidR="00946611">
              <w:t xml:space="preserve"> and </w:t>
            </w:r>
            <w:r>
              <w:t>instructor training courses</w:t>
            </w:r>
            <w:r w:rsidR="00987047">
              <w:t>.</w:t>
            </w:r>
          </w:p>
          <w:p w14:paraId="11013070" w14:textId="546076D4" w:rsidR="001A0FB2" w:rsidRDefault="001A0FB2" w:rsidP="0087018C">
            <w:pPr>
              <w:jc w:val="both"/>
            </w:pPr>
          </w:p>
          <w:p w14:paraId="47B0F561" w14:textId="1D99175B" w:rsidR="00FF2D25" w:rsidRDefault="00DD7100" w:rsidP="0087018C">
            <w:pPr>
              <w:jc w:val="both"/>
            </w:pPr>
            <w:r>
              <w:t>S.B. 478</w:t>
            </w:r>
            <w:r w:rsidR="00987047">
              <w:t xml:space="preserve">, with respect to </w:t>
            </w:r>
            <w:r>
              <w:t xml:space="preserve">the </w:t>
            </w:r>
            <w:r w:rsidR="00987047">
              <w:t xml:space="preserve">required composition of the </w:t>
            </w:r>
            <w:r>
              <w:t>motorcycle safety advisory board</w:t>
            </w:r>
            <w:r w:rsidR="00987047">
              <w:t>, removes the requirement for the board to include</w:t>
            </w:r>
            <w:r>
              <w:t xml:space="preserve"> one representative </w:t>
            </w:r>
            <w:r w:rsidRPr="002A212F">
              <w:t>of the Texas A&amp;M Engineering Extension Service</w:t>
            </w:r>
            <w:r w:rsidR="00987047">
              <w:t xml:space="preserve"> and instead require</w:t>
            </w:r>
            <w:r w:rsidR="00946611">
              <w:t>s</w:t>
            </w:r>
            <w:r w:rsidR="00987047">
              <w:t xml:space="preserve"> the board to include</w:t>
            </w:r>
            <w:r>
              <w:t xml:space="preserve"> one </w:t>
            </w:r>
            <w:r w:rsidRPr="002A212F">
              <w:t>member who is an instructor training provider</w:t>
            </w:r>
            <w:r>
              <w:t>.</w:t>
            </w:r>
          </w:p>
          <w:p w14:paraId="3249FD34" w14:textId="5B8385B6" w:rsidR="0058757E" w:rsidRDefault="0058757E" w:rsidP="0087018C">
            <w:pPr>
              <w:jc w:val="both"/>
            </w:pPr>
          </w:p>
          <w:p w14:paraId="5FAD7E71" w14:textId="6E14835E" w:rsidR="0058757E" w:rsidRDefault="00DD7100" w:rsidP="0087018C">
            <w:pPr>
              <w:jc w:val="both"/>
            </w:pPr>
            <w:r>
              <w:t>S.B. 478 removes the specification</w:t>
            </w:r>
            <w:r w:rsidR="00987047">
              <w:t xml:space="preserve"> that</w:t>
            </w:r>
            <w:r w:rsidR="00D019D5">
              <w:t xml:space="preserve"> </w:t>
            </w:r>
            <w:r>
              <w:t>TDLR</w:t>
            </w:r>
            <w:r w:rsidR="00D019D5">
              <w:t xml:space="preserve"> may contract</w:t>
            </w:r>
            <w:r>
              <w:t xml:space="preserve"> with qualified persons</w:t>
            </w:r>
            <w:r w:rsidR="00D019D5">
              <w:t xml:space="preserve"> to offer and conduct</w:t>
            </w:r>
            <w:r>
              <w:t xml:space="preserve"> motorcycle operator training and safety </w:t>
            </w:r>
            <w:r w:rsidR="00D019D5">
              <w:t xml:space="preserve">courses and research motorcycle safety in Texas. The bill </w:t>
            </w:r>
            <w:r>
              <w:t xml:space="preserve">instead </w:t>
            </w:r>
            <w:r w:rsidR="00D019D5">
              <w:t>provides for the authority of</w:t>
            </w:r>
            <w:r>
              <w:t xml:space="preserve"> TDLR to contract</w:t>
            </w:r>
            <w:r w:rsidR="00D019D5">
              <w:t xml:space="preserve"> with such persons </w:t>
            </w:r>
            <w:r>
              <w:t xml:space="preserve">as necessary to achieve </w:t>
            </w:r>
            <w:r w:rsidR="00D019D5">
              <w:t xml:space="preserve">the purposes of statutory and bill provisions relating to motorcycle operator </w:t>
            </w:r>
            <w:r>
              <w:t>training and safety.</w:t>
            </w:r>
          </w:p>
          <w:p w14:paraId="44E2AF60" w14:textId="476ED02A" w:rsidR="00FF2D25" w:rsidRDefault="00FF2D25" w:rsidP="0087018C"/>
          <w:p w14:paraId="7D6AE980" w14:textId="47B9B672" w:rsidR="00FE31D1" w:rsidRDefault="00DD7100" w:rsidP="0087018C">
            <w:pPr>
              <w:jc w:val="both"/>
            </w:pPr>
            <w:r>
              <w:t xml:space="preserve">S.B. 478 </w:t>
            </w:r>
            <w:r w:rsidR="00C01A03">
              <w:t xml:space="preserve">requires TDLR to </w:t>
            </w:r>
            <w:r>
              <w:t xml:space="preserve">do the following with respect to </w:t>
            </w:r>
            <w:r w:rsidR="00C01A03" w:rsidRPr="001A77AF">
              <w:t>an applicant for an instructor license or instructor training provider license</w:t>
            </w:r>
            <w:r>
              <w:t>:</w:t>
            </w:r>
          </w:p>
          <w:p w14:paraId="2C75B092" w14:textId="16C10F8D" w:rsidR="00FE31D1" w:rsidRDefault="00DD7100" w:rsidP="0087018C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require the applicant to </w:t>
            </w:r>
            <w:r w:rsidR="00C01A03" w:rsidRPr="001A77AF">
              <w:t>submit a complete and legible set of fingerprints, on a form prescribed by the executive director</w:t>
            </w:r>
            <w:r w:rsidR="00C01A03">
              <w:t xml:space="preserve"> of T</w:t>
            </w:r>
            <w:r>
              <w:t>D</w:t>
            </w:r>
            <w:r w:rsidR="00C01A03">
              <w:t xml:space="preserve">LR, to TDLR or </w:t>
            </w:r>
            <w:r w:rsidR="00C01A03" w:rsidRPr="001A77AF">
              <w:t>to the Department of Public Safety</w:t>
            </w:r>
            <w:r w:rsidR="00C01A03">
              <w:t xml:space="preserve"> (DPS)</w:t>
            </w:r>
            <w:r w:rsidR="00C01A03" w:rsidRPr="001A77AF">
              <w:t xml:space="preserve"> for the purpose of obtaining criminal history record information from </w:t>
            </w:r>
            <w:r w:rsidR="00C01A03">
              <w:t>DPS</w:t>
            </w:r>
            <w:r w:rsidR="00C01A03" w:rsidRPr="001A77AF">
              <w:t xml:space="preserve"> and the </w:t>
            </w:r>
            <w:r w:rsidR="00C01A03">
              <w:t>FBI</w:t>
            </w:r>
            <w:r>
              <w:t>; and</w:t>
            </w:r>
          </w:p>
          <w:p w14:paraId="4B982383" w14:textId="1E41B03E" w:rsidR="00FE31D1" w:rsidRDefault="00DD7100" w:rsidP="0087018C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conduct a criminal history record information check of eac</w:t>
            </w:r>
            <w:r>
              <w:t>h applicant using information provided by the individual and made available to TDLR by DPS, the FBI and any other criminal justice agency.</w:t>
            </w:r>
            <w:r w:rsidR="00B82704">
              <w:t xml:space="preserve"> </w:t>
            </w:r>
          </w:p>
          <w:p w14:paraId="2FB0C49E" w14:textId="46B7225F" w:rsidR="00C01A03" w:rsidRDefault="00DD7100" w:rsidP="0087018C">
            <w:pPr>
              <w:jc w:val="both"/>
            </w:pPr>
            <w:r>
              <w:t xml:space="preserve">The bill prohibits TDLR from issuing </w:t>
            </w:r>
            <w:r w:rsidRPr="001A77AF">
              <w:t xml:space="preserve">an </w:t>
            </w:r>
            <w:r>
              <w:t>applicable</w:t>
            </w:r>
            <w:r w:rsidRPr="001A77AF">
              <w:t xml:space="preserve"> license to a person who does not comply with </w:t>
            </w:r>
            <w:r>
              <w:t>the</w:t>
            </w:r>
            <w:r w:rsidRPr="001A77AF">
              <w:t xml:space="preserve"> requirement</w:t>
            </w:r>
            <w:r>
              <w:t xml:space="preserve">s. </w:t>
            </w:r>
            <w:r w:rsidR="00B82704">
              <w:t>The bill</w:t>
            </w:r>
            <w:r w:rsidR="00464639">
              <w:t xml:space="preserve"> </w:t>
            </w:r>
            <w:r>
              <w:t>authorizes TDLR to enter into an agreement with DPS to administer the required criminal history record information check and authorize</w:t>
            </w:r>
            <w:r w:rsidR="001E7147">
              <w:t>s</w:t>
            </w:r>
            <w:r>
              <w:t xml:space="preserve"> DPS to collect from each applicant the costs incurred by DPS in conducting the check.</w:t>
            </w:r>
            <w:r w:rsidR="00FE31D1">
              <w:t xml:space="preserve"> </w:t>
            </w:r>
          </w:p>
          <w:p w14:paraId="3ED684D1" w14:textId="77777777" w:rsidR="00D92399" w:rsidRDefault="00D92399" w:rsidP="0087018C">
            <w:pPr>
              <w:jc w:val="both"/>
            </w:pPr>
          </w:p>
          <w:p w14:paraId="62FE6D85" w14:textId="303B77AE" w:rsidR="00252DBB" w:rsidRDefault="00DD7100" w:rsidP="0087018C">
            <w:pPr>
              <w:jc w:val="both"/>
            </w:pPr>
            <w:r>
              <w:t>S.B. 478</w:t>
            </w:r>
            <w:r w:rsidR="00FE0377">
              <w:t xml:space="preserve"> provides for the authority of</w:t>
            </w:r>
            <w:r>
              <w:t xml:space="preserve"> </w:t>
            </w:r>
            <w:r w:rsidR="007D1505">
              <w:t xml:space="preserve">TCLR or </w:t>
            </w:r>
            <w:r>
              <w:t>the executive director of T</w:t>
            </w:r>
            <w:r w:rsidR="00FE0377">
              <w:t>D</w:t>
            </w:r>
            <w:r>
              <w:t xml:space="preserve">LR to deny the </w:t>
            </w:r>
            <w:r w:rsidR="00FE0377">
              <w:t xml:space="preserve">application or </w:t>
            </w:r>
            <w:r>
              <w:t xml:space="preserve">renewal of </w:t>
            </w:r>
            <w:r w:rsidR="00FE0377">
              <w:t xml:space="preserve">an applicable license, including </w:t>
            </w:r>
            <w:r w:rsidR="004D207C">
              <w:t xml:space="preserve">an </w:t>
            </w:r>
            <w:r w:rsidRPr="00773902">
              <w:t>instructor training provider</w:t>
            </w:r>
            <w:r>
              <w:t xml:space="preserve"> </w:t>
            </w:r>
            <w:r w:rsidR="004D207C">
              <w:t>license if the applicant</w:t>
            </w:r>
            <w:r w:rsidR="00B000C2">
              <w:t>,</w:t>
            </w:r>
            <w:r w:rsidR="004D207C">
              <w:t xml:space="preserve"> instructor, provider, or motorcycle school </w:t>
            </w:r>
            <w:r>
              <w:t>fail</w:t>
            </w:r>
            <w:r w:rsidR="004D207C">
              <w:t>s</w:t>
            </w:r>
            <w:r>
              <w:t xml:space="preserve"> to meet</w:t>
            </w:r>
            <w:r w:rsidR="004D207C">
              <w:t xml:space="preserve"> the</w:t>
            </w:r>
            <w:r>
              <w:t xml:space="preserve"> </w:t>
            </w:r>
            <w:r w:rsidR="004D207C">
              <w:t xml:space="preserve">established </w:t>
            </w:r>
            <w:r>
              <w:t xml:space="preserve">requirements. The bill </w:t>
            </w:r>
            <w:r w:rsidR="004D207C">
              <w:t xml:space="preserve">removes the requirement, following denial, suspension, or revocation of a license, for notice and opportunity for a hearing to be given as provided by statutory provisions relating to consequences of criminal conviction. The bill </w:t>
            </w:r>
            <w:r>
              <w:t xml:space="preserve">specifies that </w:t>
            </w:r>
            <w:r w:rsidR="004D207C">
              <w:t xml:space="preserve">a proceeding regarding such disciplinary action </w:t>
            </w:r>
            <w:r>
              <w:t xml:space="preserve">is a contested case under </w:t>
            </w:r>
            <w:r w:rsidR="004D207C">
              <w:t xml:space="preserve">Government Code </w:t>
            </w:r>
            <w:r>
              <w:t xml:space="preserve">provisions </w:t>
            </w:r>
            <w:r w:rsidR="004D207C">
              <w:t>relating to</w:t>
            </w:r>
            <w:r>
              <w:t xml:space="preserve"> administrative procedure.</w:t>
            </w:r>
          </w:p>
          <w:p w14:paraId="0134B061" w14:textId="77777777" w:rsidR="00FF2D25" w:rsidRDefault="00FF2D25" w:rsidP="0087018C">
            <w:pPr>
              <w:jc w:val="both"/>
            </w:pPr>
          </w:p>
          <w:p w14:paraId="1355EF1C" w14:textId="0D861967" w:rsidR="00FF2D25" w:rsidRDefault="00DD7100" w:rsidP="0087018C">
            <w:pPr>
              <w:jc w:val="both"/>
            </w:pPr>
            <w:r>
              <w:t xml:space="preserve">S.B. 478 replaces the requirement </w:t>
            </w:r>
            <w:r w:rsidR="002F2E8E">
              <w:t>for</w:t>
            </w:r>
            <w:r>
              <w:t xml:space="preserve"> TDLR to </w:t>
            </w:r>
            <w:r w:rsidRPr="00B5649C">
              <w:t>require each motorcycle school to report</w:t>
            </w:r>
            <w:r w:rsidR="00942CDB">
              <w:t xml:space="preserve"> on the school's program</w:t>
            </w:r>
            <w:r w:rsidRPr="00B5649C">
              <w:t xml:space="preserve"> in </w:t>
            </w:r>
            <w:r>
              <w:t>a prescribed f</w:t>
            </w:r>
            <w:r w:rsidRPr="00B5649C">
              <w:t>orm and manner</w:t>
            </w:r>
            <w:r>
              <w:t xml:space="preserve"> </w:t>
            </w:r>
            <w:r w:rsidR="002F2E8E">
              <w:t xml:space="preserve">with an authorization to do so and </w:t>
            </w:r>
            <w:r>
              <w:t xml:space="preserve">removes </w:t>
            </w:r>
            <w:r w:rsidR="002F2E8E">
              <w:t>provisions setting out the required contents of the report</w:t>
            </w:r>
            <w:r>
              <w:t>.</w:t>
            </w:r>
            <w:r w:rsidR="00250F9B">
              <w:t xml:space="preserve"> The bill</w:t>
            </w:r>
            <w:r>
              <w:t xml:space="preserve"> </w:t>
            </w:r>
            <w:r w:rsidR="00942CDB">
              <w:t xml:space="preserve">requires TDLR, if TDLR requires a motorcycle school or instructor training provider to submit such a report, to </w:t>
            </w:r>
            <w:r w:rsidR="00942CDB" w:rsidRPr="00880534">
              <w:t>specify the information that must be included in the report</w:t>
            </w:r>
            <w:r w:rsidR="00942CDB">
              <w:t xml:space="preserve"> and </w:t>
            </w:r>
            <w:r>
              <w:t xml:space="preserve">authorizes TDLR to </w:t>
            </w:r>
            <w:r w:rsidRPr="00880534">
              <w:t>require each instructor training provider to report</w:t>
            </w:r>
            <w:r>
              <w:t xml:space="preserve"> </w:t>
            </w:r>
            <w:r w:rsidRPr="00880534">
              <w:t>on instructor training courses offered by the provider</w:t>
            </w:r>
            <w:r w:rsidR="002F2E8E">
              <w:t xml:space="preserve"> in the form and manner prescribed by TDLR</w:t>
            </w:r>
            <w:r>
              <w:t>.</w:t>
            </w:r>
          </w:p>
          <w:p w14:paraId="6D62EFAF" w14:textId="77777777" w:rsidR="00464639" w:rsidRDefault="00464639" w:rsidP="0087018C">
            <w:pPr>
              <w:jc w:val="both"/>
            </w:pPr>
          </w:p>
          <w:p w14:paraId="70174373" w14:textId="77777777" w:rsidR="00C4747B" w:rsidRDefault="00DD7100" w:rsidP="0087018C">
            <w:pPr>
              <w:jc w:val="both"/>
            </w:pPr>
            <w:r>
              <w:t>S.B</w:t>
            </w:r>
            <w:r>
              <w:t xml:space="preserve">. 478 </w:t>
            </w:r>
            <w:r w:rsidR="005B7AFC">
              <w:t xml:space="preserve">repeals </w:t>
            </w:r>
            <w:r>
              <w:t>the following provisions of the Transportation Code:</w:t>
            </w:r>
          </w:p>
          <w:p w14:paraId="1C3D6948" w14:textId="6C893A70" w:rsidR="00C4747B" w:rsidRDefault="00DD7100" w:rsidP="0087018C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effective September 1, 2023, </w:t>
            </w:r>
            <w:r w:rsidR="00114510">
              <w:t>S</w:t>
            </w:r>
            <w:r w:rsidRPr="00C4747B">
              <w:t>ection 521.1601, Transportation Code, as added by Chapter 1253 (H.B. 339), Acts of the 81st Legislature, Regular Session, 2009</w:t>
            </w:r>
            <w:r>
              <w:t>; and</w:t>
            </w:r>
          </w:p>
          <w:p w14:paraId="1C330B73" w14:textId="77777777" w:rsidR="008423E4" w:rsidRPr="0087018C" w:rsidRDefault="00DD7100" w:rsidP="0087018C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/>
              </w:rPr>
            </w:pPr>
            <w:r>
              <w:t>S</w:t>
            </w:r>
            <w:r w:rsidR="005B7AFC" w:rsidRPr="005B7AFC">
              <w:t>ection 662.0115, Transportation Code</w:t>
            </w:r>
            <w:r>
              <w:t>, relating to the establishment and administration of a motorcycle safety grant program</w:t>
            </w:r>
            <w:r w:rsidR="00B5649C">
              <w:t>.</w:t>
            </w:r>
          </w:p>
          <w:p w14:paraId="65E68B31" w14:textId="4502EC60" w:rsidR="0087018C" w:rsidRPr="0087018C" w:rsidRDefault="0087018C" w:rsidP="0087018C">
            <w:pPr>
              <w:jc w:val="both"/>
              <w:rPr>
                <w:b/>
              </w:rPr>
            </w:pPr>
          </w:p>
        </w:tc>
      </w:tr>
      <w:tr w:rsidR="00D079D2" w14:paraId="326A757F" w14:textId="77777777" w:rsidTr="00345119">
        <w:tc>
          <w:tcPr>
            <w:tcW w:w="9576" w:type="dxa"/>
          </w:tcPr>
          <w:p w14:paraId="641EA3DF" w14:textId="15749899" w:rsidR="008423E4" w:rsidRDefault="00DD7100" w:rsidP="0087018C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0EE3A0" w14:textId="77777777" w:rsidR="00B5649C" w:rsidRPr="00B5649C" w:rsidRDefault="00B5649C" w:rsidP="0087018C">
            <w:pPr>
              <w:jc w:val="both"/>
              <w:rPr>
                <w:b/>
              </w:rPr>
            </w:pPr>
          </w:p>
          <w:p w14:paraId="319C57CC" w14:textId="093EBAAF" w:rsidR="00B5649C" w:rsidRPr="003624F2" w:rsidRDefault="00DD7100" w:rsidP="008701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5649C">
              <w:t>Except as otherwise provided, January 1, 2024.</w:t>
            </w:r>
          </w:p>
          <w:p w14:paraId="068188D1" w14:textId="77777777" w:rsidR="008423E4" w:rsidRPr="00233FDB" w:rsidRDefault="008423E4" w:rsidP="0087018C">
            <w:pPr>
              <w:jc w:val="both"/>
              <w:rPr>
                <w:b/>
              </w:rPr>
            </w:pPr>
          </w:p>
        </w:tc>
      </w:tr>
    </w:tbl>
    <w:p w14:paraId="392A4C20" w14:textId="77777777" w:rsidR="008423E4" w:rsidRPr="00BE0E75" w:rsidRDefault="008423E4" w:rsidP="0087018C">
      <w:pPr>
        <w:jc w:val="both"/>
        <w:rPr>
          <w:rFonts w:ascii="Arial" w:hAnsi="Arial"/>
          <w:sz w:val="16"/>
          <w:szCs w:val="16"/>
        </w:rPr>
      </w:pPr>
    </w:p>
    <w:p w14:paraId="26B729F0" w14:textId="77777777" w:rsidR="004108C3" w:rsidRPr="008423E4" w:rsidRDefault="004108C3" w:rsidP="0087018C">
      <w:pPr>
        <w:jc w:val="both"/>
      </w:pPr>
    </w:p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CF8C" w14:textId="77777777" w:rsidR="00000000" w:rsidRDefault="00DD7100">
      <w:r>
        <w:separator/>
      </w:r>
    </w:p>
  </w:endnote>
  <w:endnote w:type="continuationSeparator" w:id="0">
    <w:p w14:paraId="6E630FEB" w14:textId="77777777" w:rsidR="00000000" w:rsidRDefault="00DD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F22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79D2" w14:paraId="431BC2C5" w14:textId="77777777" w:rsidTr="009C1E9A">
      <w:trPr>
        <w:cantSplit/>
      </w:trPr>
      <w:tc>
        <w:tcPr>
          <w:tcW w:w="0" w:type="pct"/>
        </w:tcPr>
        <w:p w14:paraId="7184B6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6C0F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A715C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FC03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616C8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79D2" w14:paraId="12BFE80E" w14:textId="77777777" w:rsidTr="009C1E9A">
      <w:trPr>
        <w:cantSplit/>
      </w:trPr>
      <w:tc>
        <w:tcPr>
          <w:tcW w:w="0" w:type="pct"/>
        </w:tcPr>
        <w:p w14:paraId="1B0BEA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241F7C" w14:textId="77777777" w:rsidR="00EC379B" w:rsidRPr="009C1E9A" w:rsidRDefault="00DD710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27898-D</w:t>
          </w:r>
        </w:p>
      </w:tc>
      <w:tc>
        <w:tcPr>
          <w:tcW w:w="2453" w:type="pct"/>
        </w:tcPr>
        <w:p w14:paraId="0BD8AF0B" w14:textId="5B6049A0" w:rsidR="00EC379B" w:rsidRDefault="00DD710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7018C">
            <w:t>23.124.1072</w:t>
          </w:r>
          <w:r>
            <w:fldChar w:fldCharType="end"/>
          </w:r>
        </w:p>
      </w:tc>
    </w:tr>
    <w:tr w:rsidR="00D079D2" w14:paraId="6E5F518B" w14:textId="77777777" w:rsidTr="009C1E9A">
      <w:trPr>
        <w:cantSplit/>
      </w:trPr>
      <w:tc>
        <w:tcPr>
          <w:tcW w:w="0" w:type="pct"/>
        </w:tcPr>
        <w:p w14:paraId="6736174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27255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5CFE5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B769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79D2" w14:paraId="67F25E3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C826F3" w14:textId="77777777" w:rsidR="00EC379B" w:rsidRDefault="00DD710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E8B10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1457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D79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9A80" w14:textId="77777777" w:rsidR="00000000" w:rsidRDefault="00DD7100">
      <w:r>
        <w:separator/>
      </w:r>
    </w:p>
  </w:footnote>
  <w:footnote w:type="continuationSeparator" w:id="0">
    <w:p w14:paraId="2D4FAC63" w14:textId="77777777" w:rsidR="00000000" w:rsidRDefault="00DD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6E0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EBA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70A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2B9"/>
    <w:multiLevelType w:val="hybridMultilevel"/>
    <w:tmpl w:val="391AEFA4"/>
    <w:lvl w:ilvl="0" w:tplc="F58E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AD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69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0A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5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4B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B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D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8F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05D"/>
    <w:multiLevelType w:val="hybridMultilevel"/>
    <w:tmpl w:val="9D381D4E"/>
    <w:lvl w:ilvl="0" w:tplc="654ED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87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CD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C5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46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8A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A2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ED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43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4BD8"/>
    <w:multiLevelType w:val="hybridMultilevel"/>
    <w:tmpl w:val="CAA4689A"/>
    <w:lvl w:ilvl="0" w:tplc="DFF8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C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60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0D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B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F83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6C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AC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0C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286"/>
    <w:multiLevelType w:val="hybridMultilevel"/>
    <w:tmpl w:val="3BD6D236"/>
    <w:lvl w:ilvl="0" w:tplc="EA8A4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62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A5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20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E3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A5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6B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F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6C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37FC"/>
    <w:multiLevelType w:val="hybridMultilevel"/>
    <w:tmpl w:val="D8C20D06"/>
    <w:lvl w:ilvl="0" w:tplc="216693D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708FE8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79CFD9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566F18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97858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16677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C0095D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EFE693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216307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D82DBC"/>
    <w:multiLevelType w:val="hybridMultilevel"/>
    <w:tmpl w:val="8694492A"/>
    <w:lvl w:ilvl="0" w:tplc="BB5E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80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4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0A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AD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A2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E7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C0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EB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1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08F"/>
    <w:rsid w:val="00064BF2"/>
    <w:rsid w:val="000667BA"/>
    <w:rsid w:val="000676A7"/>
    <w:rsid w:val="00071C0F"/>
    <w:rsid w:val="00073914"/>
    <w:rsid w:val="00074236"/>
    <w:rsid w:val="000746BD"/>
    <w:rsid w:val="00076D7D"/>
    <w:rsid w:val="00076FE8"/>
    <w:rsid w:val="00080D95"/>
    <w:rsid w:val="00090E6B"/>
    <w:rsid w:val="00091B2C"/>
    <w:rsid w:val="00092ABC"/>
    <w:rsid w:val="00097AAF"/>
    <w:rsid w:val="00097D13"/>
    <w:rsid w:val="000A3E9E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4EC9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510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001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0FB2"/>
    <w:rsid w:val="001A2BDD"/>
    <w:rsid w:val="001A3DDF"/>
    <w:rsid w:val="001A4310"/>
    <w:rsid w:val="001A77AF"/>
    <w:rsid w:val="001B053A"/>
    <w:rsid w:val="001B0B82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006"/>
    <w:rsid w:val="001D462E"/>
    <w:rsid w:val="001E2CAD"/>
    <w:rsid w:val="001E34DB"/>
    <w:rsid w:val="001E37CD"/>
    <w:rsid w:val="001E4070"/>
    <w:rsid w:val="001E655E"/>
    <w:rsid w:val="001E7147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4D2D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0F9B"/>
    <w:rsid w:val="00251ED5"/>
    <w:rsid w:val="00252DBB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E9C"/>
    <w:rsid w:val="002874E3"/>
    <w:rsid w:val="00287656"/>
    <w:rsid w:val="00291518"/>
    <w:rsid w:val="00296FF0"/>
    <w:rsid w:val="002A17C0"/>
    <w:rsid w:val="002A212F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E8E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138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882"/>
    <w:rsid w:val="003747DF"/>
    <w:rsid w:val="00377E3D"/>
    <w:rsid w:val="003847E8"/>
    <w:rsid w:val="0038731D"/>
    <w:rsid w:val="00387B60"/>
    <w:rsid w:val="00390098"/>
    <w:rsid w:val="00392DA1"/>
    <w:rsid w:val="00393718"/>
    <w:rsid w:val="00394910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FF8"/>
    <w:rsid w:val="003B7984"/>
    <w:rsid w:val="003B7AF6"/>
    <w:rsid w:val="003C0411"/>
    <w:rsid w:val="003C1871"/>
    <w:rsid w:val="003C1C55"/>
    <w:rsid w:val="003C25EA"/>
    <w:rsid w:val="003C36FD"/>
    <w:rsid w:val="003C664C"/>
    <w:rsid w:val="003D0D0F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B8A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0B6"/>
    <w:rsid w:val="00454715"/>
    <w:rsid w:val="00455936"/>
    <w:rsid w:val="00455ACE"/>
    <w:rsid w:val="00461B69"/>
    <w:rsid w:val="00462B3D"/>
    <w:rsid w:val="00464639"/>
    <w:rsid w:val="00474927"/>
    <w:rsid w:val="00475913"/>
    <w:rsid w:val="00480080"/>
    <w:rsid w:val="004824A7"/>
    <w:rsid w:val="00483AF0"/>
    <w:rsid w:val="00484167"/>
    <w:rsid w:val="00490C5B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07C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58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3FD"/>
    <w:rsid w:val="0058757E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B76"/>
    <w:rsid w:val="005B3298"/>
    <w:rsid w:val="005B3C13"/>
    <w:rsid w:val="005B5516"/>
    <w:rsid w:val="005B5D2B"/>
    <w:rsid w:val="005B7AFC"/>
    <w:rsid w:val="005C1496"/>
    <w:rsid w:val="005C14C9"/>
    <w:rsid w:val="005C17C5"/>
    <w:rsid w:val="005C2B21"/>
    <w:rsid w:val="005C2C00"/>
    <w:rsid w:val="005C4C6F"/>
    <w:rsid w:val="005C5127"/>
    <w:rsid w:val="005C7CCB"/>
    <w:rsid w:val="005D1444"/>
    <w:rsid w:val="005D14A5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902"/>
    <w:rsid w:val="00777518"/>
    <w:rsid w:val="0077779E"/>
    <w:rsid w:val="00780FB6"/>
    <w:rsid w:val="007842FD"/>
    <w:rsid w:val="0078552A"/>
    <w:rsid w:val="00785729"/>
    <w:rsid w:val="00786058"/>
    <w:rsid w:val="0079487D"/>
    <w:rsid w:val="007966D4"/>
    <w:rsid w:val="007968AA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505"/>
    <w:rsid w:val="007D2892"/>
    <w:rsid w:val="007D2DCC"/>
    <w:rsid w:val="007D47E1"/>
    <w:rsid w:val="007D7FCB"/>
    <w:rsid w:val="007E0F7B"/>
    <w:rsid w:val="007E33B6"/>
    <w:rsid w:val="007E59E8"/>
    <w:rsid w:val="007E71D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18C"/>
    <w:rsid w:val="00871775"/>
    <w:rsid w:val="00871AEF"/>
    <w:rsid w:val="008726E5"/>
    <w:rsid w:val="0087289E"/>
    <w:rsid w:val="00874C05"/>
    <w:rsid w:val="0087588B"/>
    <w:rsid w:val="0087680A"/>
    <w:rsid w:val="00880534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BF6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373"/>
    <w:rsid w:val="009375BB"/>
    <w:rsid w:val="009418E9"/>
    <w:rsid w:val="00942CDB"/>
    <w:rsid w:val="00946044"/>
    <w:rsid w:val="0094653B"/>
    <w:rsid w:val="009465AB"/>
    <w:rsid w:val="00946611"/>
    <w:rsid w:val="00946DEE"/>
    <w:rsid w:val="00953499"/>
    <w:rsid w:val="00954A16"/>
    <w:rsid w:val="0095696D"/>
    <w:rsid w:val="00960F2D"/>
    <w:rsid w:val="0096482F"/>
    <w:rsid w:val="00964E3A"/>
    <w:rsid w:val="0096583F"/>
    <w:rsid w:val="00967126"/>
    <w:rsid w:val="00970EAE"/>
    <w:rsid w:val="00971627"/>
    <w:rsid w:val="00972797"/>
    <w:rsid w:val="0097279D"/>
    <w:rsid w:val="00976837"/>
    <w:rsid w:val="00976BEA"/>
    <w:rsid w:val="00980311"/>
    <w:rsid w:val="0098170E"/>
    <w:rsid w:val="0098285C"/>
    <w:rsid w:val="00983B56"/>
    <w:rsid w:val="009847FD"/>
    <w:rsid w:val="009851B3"/>
    <w:rsid w:val="00985300"/>
    <w:rsid w:val="00986720"/>
    <w:rsid w:val="00987047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4E2"/>
    <w:rsid w:val="009B7806"/>
    <w:rsid w:val="009C05C1"/>
    <w:rsid w:val="009C1E9A"/>
    <w:rsid w:val="009C2A33"/>
    <w:rsid w:val="009C2E49"/>
    <w:rsid w:val="009C36CD"/>
    <w:rsid w:val="009C43A5"/>
    <w:rsid w:val="009C5A1D"/>
    <w:rsid w:val="009C5A76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6C3"/>
    <w:rsid w:val="00A3420E"/>
    <w:rsid w:val="00A35D66"/>
    <w:rsid w:val="00A37AAB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35A"/>
    <w:rsid w:val="00A803CF"/>
    <w:rsid w:val="00A80461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0F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707"/>
    <w:rsid w:val="00AF48B4"/>
    <w:rsid w:val="00AF4923"/>
    <w:rsid w:val="00AF7C74"/>
    <w:rsid w:val="00B000AF"/>
    <w:rsid w:val="00B000C2"/>
    <w:rsid w:val="00B04E79"/>
    <w:rsid w:val="00B07488"/>
    <w:rsid w:val="00B07512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203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9C"/>
    <w:rsid w:val="00B564BF"/>
    <w:rsid w:val="00B6104E"/>
    <w:rsid w:val="00B610C7"/>
    <w:rsid w:val="00B62106"/>
    <w:rsid w:val="00B626A8"/>
    <w:rsid w:val="00B65695"/>
    <w:rsid w:val="00B66526"/>
    <w:rsid w:val="00B665A3"/>
    <w:rsid w:val="00B668BB"/>
    <w:rsid w:val="00B73BB4"/>
    <w:rsid w:val="00B80532"/>
    <w:rsid w:val="00B82039"/>
    <w:rsid w:val="00B82454"/>
    <w:rsid w:val="00B82704"/>
    <w:rsid w:val="00B90097"/>
    <w:rsid w:val="00B90999"/>
    <w:rsid w:val="00B91AD7"/>
    <w:rsid w:val="00B92D23"/>
    <w:rsid w:val="00B943D6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A03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47B"/>
    <w:rsid w:val="00C47898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5E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7FA"/>
    <w:rsid w:val="00CD180C"/>
    <w:rsid w:val="00CD32FD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9D5"/>
    <w:rsid w:val="00D03176"/>
    <w:rsid w:val="00D060A8"/>
    <w:rsid w:val="00D06605"/>
    <w:rsid w:val="00D0720F"/>
    <w:rsid w:val="00D074E2"/>
    <w:rsid w:val="00D079D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2A2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399"/>
    <w:rsid w:val="00D926B3"/>
    <w:rsid w:val="00D92F63"/>
    <w:rsid w:val="00D941F8"/>
    <w:rsid w:val="00D947B6"/>
    <w:rsid w:val="00D94A53"/>
    <w:rsid w:val="00D96EA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100"/>
    <w:rsid w:val="00DD7509"/>
    <w:rsid w:val="00DD79C7"/>
    <w:rsid w:val="00DD7D6E"/>
    <w:rsid w:val="00DE34B2"/>
    <w:rsid w:val="00DE413C"/>
    <w:rsid w:val="00DE49DE"/>
    <w:rsid w:val="00DE618B"/>
    <w:rsid w:val="00DE6EC2"/>
    <w:rsid w:val="00DF0834"/>
    <w:rsid w:val="00DF0873"/>
    <w:rsid w:val="00DF2707"/>
    <w:rsid w:val="00DF4D90"/>
    <w:rsid w:val="00DF55C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B09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680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D6F"/>
    <w:rsid w:val="00FB16CD"/>
    <w:rsid w:val="00FB73AE"/>
    <w:rsid w:val="00FC5388"/>
    <w:rsid w:val="00FC726C"/>
    <w:rsid w:val="00FD1B4B"/>
    <w:rsid w:val="00FD1B94"/>
    <w:rsid w:val="00FE0377"/>
    <w:rsid w:val="00FE19C5"/>
    <w:rsid w:val="00FE31D1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D25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5E0B05-73D7-4DDD-9234-7D1B4498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4B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4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4B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B09"/>
    <w:rPr>
      <w:b/>
      <w:bCs/>
    </w:rPr>
  </w:style>
  <w:style w:type="paragraph" w:styleId="ListParagraph">
    <w:name w:val="List Paragraph"/>
    <w:basedOn w:val="Normal"/>
    <w:uiPriority w:val="34"/>
    <w:qFormat/>
    <w:rsid w:val="00E84B09"/>
    <w:pPr>
      <w:ind w:left="720"/>
      <w:contextualSpacing/>
    </w:pPr>
  </w:style>
  <w:style w:type="paragraph" w:styleId="Revision">
    <w:name w:val="Revision"/>
    <w:hidden/>
    <w:uiPriority w:val="99"/>
    <w:semiHidden/>
    <w:rsid w:val="00C94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7488</Characters>
  <Application>Microsoft Office Word</Application>
  <DocSecurity>4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SB00478 (Committee Report (Unamended))</vt:lpstr>
    </vt:vector>
  </TitlesOfParts>
  <Company>State of Texas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27898</dc:subject>
  <dc:creator>State of Texas</dc:creator>
  <dc:description>SB 478 by Zaffirini-(H)Licensing &amp; Administrative Procedures</dc:description>
  <cp:lastModifiedBy>Alan Gonzalez Otero</cp:lastModifiedBy>
  <cp:revision>2</cp:revision>
  <cp:lastPrinted>2003-11-26T17:21:00Z</cp:lastPrinted>
  <dcterms:created xsi:type="dcterms:W3CDTF">2023-05-09T01:04:00Z</dcterms:created>
  <dcterms:modified xsi:type="dcterms:W3CDTF">2023-05-09T01:04:00Z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23.124.1072</vt:lpwstr>
  </property>
</Properties>
</file>