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527B9" w14:paraId="4BF28443" w14:textId="77777777" w:rsidTr="00345119">
        <w:tc>
          <w:tcPr>
            <w:tcW w:w="9576" w:type="dxa"/>
            <w:noWrap/>
          </w:tcPr>
          <w:p w14:paraId="5F75F986" w14:textId="77777777" w:rsidR="008423E4" w:rsidRPr="0022177D" w:rsidRDefault="00287333" w:rsidP="002362A7">
            <w:pPr>
              <w:pStyle w:val="Heading1"/>
            </w:pPr>
            <w:r w:rsidRPr="00631897">
              <w:t>BILL ANALYSIS</w:t>
            </w:r>
          </w:p>
        </w:tc>
      </w:tr>
    </w:tbl>
    <w:p w14:paraId="31C8DE79" w14:textId="77777777" w:rsidR="008423E4" w:rsidRPr="0022177D" w:rsidRDefault="008423E4" w:rsidP="002362A7">
      <w:pPr>
        <w:jc w:val="center"/>
      </w:pPr>
    </w:p>
    <w:p w14:paraId="020BA386" w14:textId="77777777" w:rsidR="008423E4" w:rsidRPr="00B31F0E" w:rsidRDefault="008423E4" w:rsidP="002362A7"/>
    <w:p w14:paraId="138CFDCF" w14:textId="77777777" w:rsidR="008423E4" w:rsidRPr="00742794" w:rsidRDefault="008423E4" w:rsidP="002362A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27B9" w14:paraId="2DCE1041" w14:textId="77777777" w:rsidTr="00345119">
        <w:tc>
          <w:tcPr>
            <w:tcW w:w="9576" w:type="dxa"/>
          </w:tcPr>
          <w:p w14:paraId="22F1B589" w14:textId="0F24E46A" w:rsidR="008423E4" w:rsidRPr="00861995" w:rsidRDefault="00287333" w:rsidP="002362A7">
            <w:pPr>
              <w:jc w:val="right"/>
            </w:pPr>
            <w:r>
              <w:t>S.B. 745</w:t>
            </w:r>
          </w:p>
        </w:tc>
      </w:tr>
      <w:tr w:rsidR="002527B9" w14:paraId="513B8E25" w14:textId="77777777" w:rsidTr="00345119">
        <w:tc>
          <w:tcPr>
            <w:tcW w:w="9576" w:type="dxa"/>
          </w:tcPr>
          <w:p w14:paraId="55524C07" w14:textId="293F8613" w:rsidR="008423E4" w:rsidRPr="00861995" w:rsidRDefault="00287333" w:rsidP="002362A7">
            <w:pPr>
              <w:jc w:val="right"/>
            </w:pPr>
            <w:r>
              <w:t xml:space="preserve">By: </w:t>
            </w:r>
            <w:r w:rsidR="00AE415E">
              <w:t>Kolkhorst</w:t>
            </w:r>
          </w:p>
        </w:tc>
      </w:tr>
      <w:tr w:rsidR="002527B9" w14:paraId="5F1D36A7" w14:textId="77777777" w:rsidTr="00345119">
        <w:tc>
          <w:tcPr>
            <w:tcW w:w="9576" w:type="dxa"/>
          </w:tcPr>
          <w:p w14:paraId="74C906F7" w14:textId="78C8C7F2" w:rsidR="008423E4" w:rsidRPr="00861995" w:rsidRDefault="00287333" w:rsidP="002362A7">
            <w:pPr>
              <w:jc w:val="right"/>
            </w:pPr>
            <w:r>
              <w:t>Human Services</w:t>
            </w:r>
          </w:p>
        </w:tc>
      </w:tr>
      <w:tr w:rsidR="002527B9" w14:paraId="21490362" w14:textId="77777777" w:rsidTr="00345119">
        <w:tc>
          <w:tcPr>
            <w:tcW w:w="9576" w:type="dxa"/>
          </w:tcPr>
          <w:p w14:paraId="7EC6877F" w14:textId="73EFC41D" w:rsidR="008423E4" w:rsidRDefault="00287333" w:rsidP="002362A7">
            <w:pPr>
              <w:jc w:val="right"/>
            </w:pPr>
            <w:r>
              <w:t>Committee Report (Unamended)</w:t>
            </w:r>
          </w:p>
        </w:tc>
      </w:tr>
    </w:tbl>
    <w:p w14:paraId="09137DFA" w14:textId="77777777" w:rsidR="008423E4" w:rsidRDefault="008423E4" w:rsidP="002362A7">
      <w:pPr>
        <w:tabs>
          <w:tab w:val="right" w:pos="9360"/>
        </w:tabs>
      </w:pPr>
    </w:p>
    <w:p w14:paraId="4BD49C36" w14:textId="77777777" w:rsidR="008423E4" w:rsidRDefault="008423E4" w:rsidP="002362A7"/>
    <w:p w14:paraId="3679ACE4" w14:textId="77777777" w:rsidR="008423E4" w:rsidRDefault="008423E4" w:rsidP="002362A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527B9" w14:paraId="06AAE6F1" w14:textId="77777777" w:rsidTr="00345119">
        <w:tc>
          <w:tcPr>
            <w:tcW w:w="9576" w:type="dxa"/>
          </w:tcPr>
          <w:p w14:paraId="74EA8888" w14:textId="77777777" w:rsidR="008423E4" w:rsidRPr="00A8133F" w:rsidRDefault="00287333" w:rsidP="002362A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484C436" w14:textId="77777777" w:rsidR="008423E4" w:rsidRDefault="008423E4" w:rsidP="002362A7"/>
          <w:p w14:paraId="546840BB" w14:textId="51306B6E" w:rsidR="008423E4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Texas Medicaid covers health care services for nearly five million Texans. On top of </w:t>
            </w:r>
            <w:r w:rsidR="00BC34EA">
              <w:t xml:space="preserve">the significant </w:t>
            </w:r>
            <w:r>
              <w:t>costs</w:t>
            </w:r>
            <w:r w:rsidR="00BC34EA">
              <w:t xml:space="preserve"> of implementing Medicaid</w:t>
            </w:r>
            <w:r>
              <w:t>, Texas allocates funds to support Texans' health and well-being in a variety of programs</w:t>
            </w:r>
            <w:r w:rsidR="00BC34EA">
              <w:t>,</w:t>
            </w:r>
            <w:r>
              <w:t xml:space="preserve"> such as </w:t>
            </w:r>
            <w:r w:rsidR="00BC34EA">
              <w:t>CHIP</w:t>
            </w:r>
            <w:r>
              <w:t xml:space="preserve">, </w:t>
            </w:r>
            <w:r w:rsidR="00BC34EA">
              <w:t xml:space="preserve">the </w:t>
            </w:r>
            <w:r>
              <w:t>Healthy Texas Wo</w:t>
            </w:r>
            <w:r>
              <w:t>men</w:t>
            </w:r>
            <w:r w:rsidR="00BC34EA">
              <w:t xml:space="preserve"> program</w:t>
            </w:r>
            <w:r>
              <w:t xml:space="preserve">, and other programs administered by the Department of State Health Services. Chapter 36 of </w:t>
            </w:r>
            <w:r w:rsidR="00744E0C">
              <w:t xml:space="preserve">the </w:t>
            </w:r>
            <w:r>
              <w:t>Human Resources Code,</w:t>
            </w:r>
            <w:r w:rsidR="0017556A">
              <w:t xml:space="preserve"> commonly</w:t>
            </w:r>
            <w:r>
              <w:t xml:space="preserve"> known as the Texas Medicaid Fraud Prevention Act, currently authorizes the state to investigate fraud that occurs with</w:t>
            </w:r>
            <w:r>
              <w:t xml:space="preserve">in the Medicaid program and </w:t>
            </w:r>
            <w:r w:rsidR="0017556A">
              <w:t xml:space="preserve">to </w:t>
            </w:r>
            <w:r>
              <w:t xml:space="preserve">bring civil enforcement actions against those who commit unlawful acts. The </w:t>
            </w:r>
            <w:r w:rsidR="0017556A">
              <w:t xml:space="preserve">Office of the </w:t>
            </w:r>
            <w:r>
              <w:t>Attorney General</w:t>
            </w:r>
            <w:r w:rsidR="0017556A">
              <w:t xml:space="preserve"> (OAG)</w:t>
            </w:r>
            <w:r>
              <w:t xml:space="preserve"> investigates dozens of these cases of fraud each year, and, since 2000, has recovered more than $2.5 </w:t>
            </w:r>
            <w:r w:rsidR="00744E0C">
              <w:t>b</w:t>
            </w:r>
            <w:r>
              <w:t>illion for</w:t>
            </w:r>
            <w:r>
              <w:t xml:space="preserve"> taxpayers under the Texas Medicaid Fraud Prevention Act. With a growing number of non-Medicaid programs funded with taxpayer dollars, Texas must ensure other state-funded health care programs are subject to similar oversight to deter fraud. As Medicaid be</w:t>
            </w:r>
            <w:r>
              <w:t>gins to unwind after three years of emergency coverage, Texans will increasingly be eligible for taxpayer</w:t>
            </w:r>
            <w:r w:rsidR="0017556A">
              <w:t>-</w:t>
            </w:r>
            <w:r>
              <w:t>funded services that fall out</w:t>
            </w:r>
            <w:r w:rsidR="0017556A">
              <w:t xml:space="preserve">side the scope of </w:t>
            </w:r>
            <w:r>
              <w:t xml:space="preserve">the OAG's oversight, and it </w:t>
            </w:r>
            <w:r w:rsidR="00BA72C0">
              <w:t>the legislature's</w:t>
            </w:r>
            <w:r>
              <w:t xml:space="preserve"> responsibility </w:t>
            </w:r>
            <w:r w:rsidR="00BA72C0">
              <w:t xml:space="preserve">to ensure </w:t>
            </w:r>
            <w:r>
              <w:t>our fellow citizens are protecte</w:t>
            </w:r>
            <w:r>
              <w:t>d from bad-faith providers seeking to defraud state-funded health care programs. S.B.</w:t>
            </w:r>
            <w:r w:rsidR="005D28B2">
              <w:t> </w:t>
            </w:r>
            <w:r>
              <w:t xml:space="preserve">745 </w:t>
            </w:r>
            <w:r w:rsidR="00BA72C0">
              <w:t xml:space="preserve">seeks to </w:t>
            </w:r>
            <w:r>
              <w:t>address this issue by expanding the scope of the Texas Medicaid Fraud Prevention Act and authorizing the OAG to investigate and pursue civil enforcement acti</w:t>
            </w:r>
            <w:r>
              <w:t xml:space="preserve">ons to deter fraudulent conduct and recover funds from providers committing unlawful acts associated with </w:t>
            </w:r>
            <w:r w:rsidR="009263AE">
              <w:t>CHIP and the Healthy</w:t>
            </w:r>
            <w:r w:rsidR="00744E0C">
              <w:t xml:space="preserve"> Texas</w:t>
            </w:r>
            <w:r w:rsidR="009263AE">
              <w:t xml:space="preserve"> Women program</w:t>
            </w:r>
            <w:r>
              <w:t>.</w:t>
            </w:r>
          </w:p>
          <w:p w14:paraId="3E881C1A" w14:textId="77777777" w:rsidR="008423E4" w:rsidRPr="00E26B13" w:rsidRDefault="008423E4" w:rsidP="002362A7">
            <w:pPr>
              <w:rPr>
                <w:b/>
              </w:rPr>
            </w:pPr>
          </w:p>
        </w:tc>
      </w:tr>
      <w:tr w:rsidR="002527B9" w14:paraId="1BD43B04" w14:textId="77777777" w:rsidTr="00345119">
        <w:tc>
          <w:tcPr>
            <w:tcW w:w="9576" w:type="dxa"/>
          </w:tcPr>
          <w:p w14:paraId="656A68B1" w14:textId="77777777" w:rsidR="0017725B" w:rsidRDefault="00287333" w:rsidP="002362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E3F3088" w14:textId="77777777" w:rsidR="0017725B" w:rsidRDefault="0017725B" w:rsidP="002362A7">
            <w:pPr>
              <w:rPr>
                <w:b/>
                <w:u w:val="single"/>
              </w:rPr>
            </w:pPr>
          </w:p>
          <w:p w14:paraId="7B8C992F" w14:textId="5BDD9EB4" w:rsidR="00033259" w:rsidRPr="00033259" w:rsidRDefault="00287333" w:rsidP="002362A7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3BB7F8E5" w14:textId="77777777" w:rsidR="0017725B" w:rsidRPr="0017725B" w:rsidRDefault="0017725B" w:rsidP="002362A7">
            <w:pPr>
              <w:rPr>
                <w:b/>
                <w:u w:val="single"/>
              </w:rPr>
            </w:pPr>
          </w:p>
        </w:tc>
      </w:tr>
      <w:tr w:rsidR="002527B9" w14:paraId="56CCCC5E" w14:textId="77777777" w:rsidTr="00345119">
        <w:tc>
          <w:tcPr>
            <w:tcW w:w="9576" w:type="dxa"/>
          </w:tcPr>
          <w:p w14:paraId="37E8C96B" w14:textId="77777777" w:rsidR="008423E4" w:rsidRPr="00A8133F" w:rsidRDefault="00287333" w:rsidP="002362A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83D3DA" w14:textId="77777777" w:rsidR="008423E4" w:rsidRDefault="008423E4" w:rsidP="002362A7"/>
          <w:p w14:paraId="520BC306" w14:textId="28459D2A" w:rsidR="00033259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1F5D3BD3" w14:textId="77777777" w:rsidR="008423E4" w:rsidRPr="00E21FDC" w:rsidRDefault="008423E4" w:rsidP="002362A7">
            <w:pPr>
              <w:rPr>
                <w:b/>
              </w:rPr>
            </w:pPr>
          </w:p>
        </w:tc>
      </w:tr>
      <w:tr w:rsidR="002527B9" w14:paraId="28183C06" w14:textId="77777777" w:rsidTr="00345119">
        <w:tc>
          <w:tcPr>
            <w:tcW w:w="9576" w:type="dxa"/>
          </w:tcPr>
          <w:p w14:paraId="09C90D44" w14:textId="77777777" w:rsidR="008423E4" w:rsidRPr="00A8133F" w:rsidRDefault="00287333" w:rsidP="002362A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0E9863" w14:textId="77777777" w:rsidR="008423E4" w:rsidRDefault="008423E4" w:rsidP="002362A7"/>
          <w:p w14:paraId="0F362684" w14:textId="158B8AFC" w:rsidR="000E5569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745 amends the </w:t>
            </w:r>
            <w:r w:rsidR="00153E7E">
              <w:t>Human Resources Code</w:t>
            </w:r>
            <w:r>
              <w:t xml:space="preserve"> to </w:t>
            </w:r>
            <w:r w:rsidR="00153E7E">
              <w:t>extend the applicability of</w:t>
            </w:r>
            <w:r>
              <w:t xml:space="preserve"> statutory provisions</w:t>
            </w:r>
            <w:r w:rsidR="00710FF8">
              <w:t xml:space="preserve"> </w:t>
            </w:r>
            <w:r w:rsidR="00153E7E">
              <w:t xml:space="preserve">regarding </w:t>
            </w:r>
            <w:r>
              <w:t>Medicaid fraud prevention</w:t>
            </w:r>
            <w:r w:rsidR="00E04179">
              <w:t xml:space="preserve">, </w:t>
            </w:r>
            <w:r w:rsidR="009C6670">
              <w:t>including</w:t>
            </w:r>
            <w:r w:rsidR="00E04179">
              <w:t xml:space="preserve"> unlawful acts under those provisions,</w:t>
            </w:r>
            <w:r>
              <w:t xml:space="preserve"> to the following health programs</w:t>
            </w:r>
            <w:r w:rsidR="00710FF8">
              <w:t xml:space="preserve"> in addition to Medicaid</w:t>
            </w:r>
            <w:r>
              <w:t>:</w:t>
            </w:r>
          </w:p>
          <w:p w14:paraId="0EE02593" w14:textId="05A27466" w:rsidR="000E5569" w:rsidRDefault="00287333" w:rsidP="002362A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CHIP; and</w:t>
            </w:r>
            <w:r w:rsidR="00874E37">
              <w:t xml:space="preserve"> </w:t>
            </w:r>
          </w:p>
          <w:p w14:paraId="38D6CAB4" w14:textId="796A10A4" w:rsidR="009E3D02" w:rsidRDefault="00287333" w:rsidP="002362A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874E37">
              <w:t>the Healthy Texas Women program</w:t>
            </w:r>
            <w:r w:rsidR="00524463">
              <w:t xml:space="preserve"> operated by the Health and Human Services Commission </w:t>
            </w:r>
            <w:r w:rsidR="00033259">
              <w:t xml:space="preserve">that is </w:t>
            </w:r>
            <w:r w:rsidR="00524463" w:rsidRPr="00524463">
              <w:t xml:space="preserve">substantially similar to the </w:t>
            </w:r>
            <w:r w:rsidR="00524463">
              <w:t xml:space="preserve">expired </w:t>
            </w:r>
            <w:r w:rsidR="00524463" w:rsidRPr="00524463">
              <w:t>demonstration project</w:t>
            </w:r>
            <w:r w:rsidR="00524463">
              <w:t xml:space="preserve"> for women's health</w:t>
            </w:r>
            <w:r>
              <w:t xml:space="preserve"> </w:t>
            </w:r>
            <w:r w:rsidR="00524463">
              <w:t xml:space="preserve">care services </w:t>
            </w:r>
            <w:r w:rsidR="00524463" w:rsidRPr="00524463">
              <w:t xml:space="preserve">and intended to expand access to preventive health and family planning services for women in </w:t>
            </w:r>
            <w:r w:rsidR="00524463">
              <w:t>Texas.</w:t>
            </w:r>
          </w:p>
          <w:p w14:paraId="2F6038E4" w14:textId="01D6CAC0" w:rsidR="001B7645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repeals </w:t>
            </w:r>
            <w:r w:rsidR="002258EA">
              <w:t>the definition of "Medicaid program" and "Medicaid recipient</w:t>
            </w:r>
            <w:r w:rsidR="00E04179">
              <w:t>"</w:t>
            </w:r>
            <w:r w:rsidR="002258EA">
              <w:t xml:space="preserve"> for purposes of those provisions and instead defines</w:t>
            </w:r>
            <w:r>
              <w:t xml:space="preserve"> for those purposes the following:</w:t>
            </w:r>
          </w:p>
          <w:p w14:paraId="3D890883" w14:textId="0636F9B5" w:rsidR="007E73CD" w:rsidRDefault="00287333" w:rsidP="002362A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"health care recipient</w:t>
            </w:r>
            <w:r w:rsidR="008A1F56">
              <w:t>"</w:t>
            </w:r>
            <w:r>
              <w:t xml:space="preserve"> as </w:t>
            </w:r>
            <w:r w:rsidRPr="002258EA">
              <w:t xml:space="preserve">an individual on whose behalf a person claims or receives a payment from </w:t>
            </w:r>
            <w:r>
              <w:t>a</w:t>
            </w:r>
            <w:r w:rsidR="00D91A49">
              <w:t xml:space="preserve"> </w:t>
            </w:r>
            <w:r w:rsidRPr="002258EA">
              <w:t>health care program or a fiscal agent, without regard to whether t</w:t>
            </w:r>
            <w:r w:rsidRPr="002258EA">
              <w:t>he individual was eligible for benefits under the health care program</w:t>
            </w:r>
            <w:r>
              <w:t>; and</w:t>
            </w:r>
          </w:p>
          <w:p w14:paraId="311D79D2" w14:textId="60A26BA1" w:rsidR="007E73CD" w:rsidRDefault="00287333" w:rsidP="002362A7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"health care program" as the Medicaid program, CHIP, and the Health</w:t>
            </w:r>
            <w:r w:rsidR="00153AE0">
              <w:t>y</w:t>
            </w:r>
            <w:r>
              <w:t xml:space="preserve"> Texas Women program.</w:t>
            </w:r>
          </w:p>
          <w:p w14:paraId="446FA0D5" w14:textId="419E9754" w:rsidR="002E4987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 only to an unlawful act that is committed on or after the bill's effective</w:t>
            </w:r>
            <w:r>
              <w:t xml:space="preserve"> date.</w:t>
            </w:r>
          </w:p>
          <w:p w14:paraId="3635057E" w14:textId="252F3BEF" w:rsidR="001B7645" w:rsidRDefault="001B7645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1828741" w14:textId="442444CD" w:rsidR="00153E7E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745 amends the Code of Criminal Procedure to retain the definition of "Medicaid recipient" that is repealed by the bill for purposes of statutory provisions relating </w:t>
            </w:r>
            <w:r w:rsidR="00755B0B">
              <w:t xml:space="preserve">to </w:t>
            </w:r>
            <w:r>
              <w:t>the depositions of Medicaid or Medicare recipients or caregivers.</w:t>
            </w:r>
          </w:p>
          <w:p w14:paraId="0F8DBA5A" w14:textId="77777777" w:rsidR="00153E7E" w:rsidRDefault="00153E7E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875B2B2" w14:textId="17956CE4" w:rsidR="00524463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74</w:t>
            </w:r>
            <w:r>
              <w:t xml:space="preserve">5 provides for the delayed implementation of any provision for which an applicable state agency determines a federal waiver or authorization is necessary for implementation until the waiver or authorization is requested and granted. </w:t>
            </w:r>
          </w:p>
          <w:p w14:paraId="556D11E5" w14:textId="545455C8" w:rsidR="00B44999" w:rsidRDefault="00B44999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6BC075" w14:textId="6047351A" w:rsidR="00B44999" w:rsidRPr="009C36CD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10FF8">
              <w:t xml:space="preserve">S.B. 745 </w:t>
            </w:r>
            <w:r>
              <w:t xml:space="preserve">repeals </w:t>
            </w:r>
            <w:r w:rsidRPr="00710FF8">
              <w:t>Sect</w:t>
            </w:r>
            <w:r w:rsidRPr="00710FF8">
              <w:t>ions 36.001(6) and (7), Human Resources Code</w:t>
            </w:r>
            <w:r>
              <w:t>.</w:t>
            </w:r>
          </w:p>
          <w:p w14:paraId="0E1072FE" w14:textId="77777777" w:rsidR="008423E4" w:rsidRPr="00835628" w:rsidRDefault="008423E4" w:rsidP="002362A7">
            <w:pPr>
              <w:rPr>
                <w:b/>
              </w:rPr>
            </w:pPr>
          </w:p>
        </w:tc>
      </w:tr>
      <w:tr w:rsidR="002527B9" w14:paraId="3ECCE490" w14:textId="77777777" w:rsidTr="00345119">
        <w:tc>
          <w:tcPr>
            <w:tcW w:w="9576" w:type="dxa"/>
          </w:tcPr>
          <w:p w14:paraId="44C387C9" w14:textId="77777777" w:rsidR="008423E4" w:rsidRPr="00A8133F" w:rsidRDefault="00287333" w:rsidP="002362A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3D04CC" w14:textId="77777777" w:rsidR="008423E4" w:rsidRDefault="008423E4" w:rsidP="002362A7"/>
          <w:p w14:paraId="6BEDCEF0" w14:textId="1473D045" w:rsidR="008423E4" w:rsidRPr="003624F2" w:rsidRDefault="00287333" w:rsidP="002362A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033259">
              <w:t>September 1, 2023.</w:t>
            </w:r>
          </w:p>
          <w:p w14:paraId="1D28BC4F" w14:textId="77777777" w:rsidR="008423E4" w:rsidRPr="00233FDB" w:rsidRDefault="008423E4" w:rsidP="002362A7">
            <w:pPr>
              <w:rPr>
                <w:b/>
              </w:rPr>
            </w:pPr>
          </w:p>
        </w:tc>
      </w:tr>
    </w:tbl>
    <w:p w14:paraId="55693530" w14:textId="77777777" w:rsidR="008423E4" w:rsidRPr="00BE0E75" w:rsidRDefault="008423E4" w:rsidP="002362A7">
      <w:pPr>
        <w:jc w:val="both"/>
        <w:rPr>
          <w:rFonts w:ascii="Arial" w:hAnsi="Arial"/>
          <w:sz w:val="16"/>
          <w:szCs w:val="16"/>
        </w:rPr>
      </w:pPr>
    </w:p>
    <w:p w14:paraId="402A5A37" w14:textId="77777777" w:rsidR="004108C3" w:rsidRPr="008423E4" w:rsidRDefault="004108C3" w:rsidP="002362A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B49A" w14:textId="77777777" w:rsidR="00000000" w:rsidRDefault="00287333">
      <w:r>
        <w:separator/>
      </w:r>
    </w:p>
  </w:endnote>
  <w:endnote w:type="continuationSeparator" w:id="0">
    <w:p w14:paraId="2E86F3EB" w14:textId="77777777" w:rsidR="00000000" w:rsidRDefault="002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3A2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27B9" w14:paraId="468CDE1E" w14:textId="77777777" w:rsidTr="009C1E9A">
      <w:trPr>
        <w:cantSplit/>
      </w:trPr>
      <w:tc>
        <w:tcPr>
          <w:tcW w:w="0" w:type="pct"/>
        </w:tcPr>
        <w:p w14:paraId="5B321A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37D3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4A9254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087A3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45BD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27B9" w14:paraId="4D75DBA2" w14:textId="77777777" w:rsidTr="009C1E9A">
      <w:trPr>
        <w:cantSplit/>
      </w:trPr>
      <w:tc>
        <w:tcPr>
          <w:tcW w:w="0" w:type="pct"/>
        </w:tcPr>
        <w:p w14:paraId="2531F2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293FCE" w14:textId="3A271679" w:rsidR="00EC379B" w:rsidRPr="009C1E9A" w:rsidRDefault="0028733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27970-D</w:t>
          </w:r>
        </w:p>
      </w:tc>
      <w:tc>
        <w:tcPr>
          <w:tcW w:w="2453" w:type="pct"/>
        </w:tcPr>
        <w:p w14:paraId="31816E6B" w14:textId="2363036A" w:rsidR="00EC379B" w:rsidRDefault="0028733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234F">
            <w:t>23.124.1740</w:t>
          </w:r>
          <w:r>
            <w:fldChar w:fldCharType="end"/>
          </w:r>
        </w:p>
      </w:tc>
    </w:tr>
    <w:tr w:rsidR="002527B9" w14:paraId="27E36EDA" w14:textId="77777777" w:rsidTr="009C1E9A">
      <w:trPr>
        <w:cantSplit/>
      </w:trPr>
      <w:tc>
        <w:tcPr>
          <w:tcW w:w="0" w:type="pct"/>
        </w:tcPr>
        <w:p w14:paraId="3D77AAB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DE338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6ADF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FC4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27B9" w14:paraId="2B6EA1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20580B" w14:textId="77777777" w:rsidR="00EC379B" w:rsidRDefault="0028733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2DE765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235C1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76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F9D6" w14:textId="77777777" w:rsidR="00000000" w:rsidRDefault="00287333">
      <w:r>
        <w:separator/>
      </w:r>
    </w:p>
  </w:footnote>
  <w:footnote w:type="continuationSeparator" w:id="0">
    <w:p w14:paraId="176EF641" w14:textId="77777777" w:rsidR="00000000" w:rsidRDefault="002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77E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B2D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E35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1812"/>
    <w:multiLevelType w:val="hybridMultilevel"/>
    <w:tmpl w:val="357A1410"/>
    <w:lvl w:ilvl="0" w:tplc="5EB6E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2B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49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A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A0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E4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88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0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A1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FAF"/>
    <w:multiLevelType w:val="hybridMultilevel"/>
    <w:tmpl w:val="B2922714"/>
    <w:lvl w:ilvl="0" w:tplc="764A5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45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A3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E6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20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E9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E4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26BE1"/>
    <w:multiLevelType w:val="hybridMultilevel"/>
    <w:tmpl w:val="C982073C"/>
    <w:lvl w:ilvl="0" w:tplc="E424DE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508A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00FA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A404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8A12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7E27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E66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64C1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F84B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442093">
    <w:abstractNumId w:val="0"/>
  </w:num>
  <w:num w:numId="2" w16cid:durableId="590237178">
    <w:abstractNumId w:val="2"/>
  </w:num>
  <w:num w:numId="3" w16cid:durableId="119808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7"/>
    <w:rsid w:val="00000A70"/>
    <w:rsid w:val="000032B8"/>
    <w:rsid w:val="00003B06"/>
    <w:rsid w:val="000054B9"/>
    <w:rsid w:val="00007461"/>
    <w:rsid w:val="0001117E"/>
    <w:rsid w:val="0001125F"/>
    <w:rsid w:val="00011F05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25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569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824"/>
    <w:rsid w:val="00134645"/>
    <w:rsid w:val="00137D90"/>
    <w:rsid w:val="00141FB6"/>
    <w:rsid w:val="001425CB"/>
    <w:rsid w:val="00142F8E"/>
    <w:rsid w:val="00143C8B"/>
    <w:rsid w:val="00147530"/>
    <w:rsid w:val="0015331F"/>
    <w:rsid w:val="00153AE0"/>
    <w:rsid w:val="00153E7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556A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777"/>
    <w:rsid w:val="001B053A"/>
    <w:rsid w:val="001B26D8"/>
    <w:rsid w:val="001B3BFA"/>
    <w:rsid w:val="001B75B8"/>
    <w:rsid w:val="001B764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8EA"/>
    <w:rsid w:val="002304DF"/>
    <w:rsid w:val="0023341D"/>
    <w:rsid w:val="002338DA"/>
    <w:rsid w:val="00233D66"/>
    <w:rsid w:val="00233FDB"/>
    <w:rsid w:val="00234F58"/>
    <w:rsid w:val="0023507D"/>
    <w:rsid w:val="002362A7"/>
    <w:rsid w:val="0024077A"/>
    <w:rsid w:val="00241EC1"/>
    <w:rsid w:val="002431DA"/>
    <w:rsid w:val="0024691D"/>
    <w:rsid w:val="00247D27"/>
    <w:rsid w:val="00250A50"/>
    <w:rsid w:val="00251ED5"/>
    <w:rsid w:val="002527B9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33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98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1D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A9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46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8B2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FF8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E0C"/>
    <w:rsid w:val="007509BE"/>
    <w:rsid w:val="0075287B"/>
    <w:rsid w:val="00753D38"/>
    <w:rsid w:val="00755B0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3C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4E37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F56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094"/>
    <w:rsid w:val="00915568"/>
    <w:rsid w:val="00917E0C"/>
    <w:rsid w:val="00920711"/>
    <w:rsid w:val="00921A1E"/>
    <w:rsid w:val="00924EA9"/>
    <w:rsid w:val="00925CE1"/>
    <w:rsid w:val="00925F5C"/>
    <w:rsid w:val="009263AE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5049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670"/>
    <w:rsid w:val="009C6B08"/>
    <w:rsid w:val="009C70FC"/>
    <w:rsid w:val="009D002B"/>
    <w:rsid w:val="009D37C7"/>
    <w:rsid w:val="009D4BBD"/>
    <w:rsid w:val="009D5A41"/>
    <w:rsid w:val="009E13BF"/>
    <w:rsid w:val="009E3631"/>
    <w:rsid w:val="009E3D02"/>
    <w:rsid w:val="009E3EB9"/>
    <w:rsid w:val="009E538D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54FF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15E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999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6B4"/>
    <w:rsid w:val="00B90999"/>
    <w:rsid w:val="00B91AD7"/>
    <w:rsid w:val="00B92D23"/>
    <w:rsid w:val="00B95BC8"/>
    <w:rsid w:val="00B96E87"/>
    <w:rsid w:val="00BA146A"/>
    <w:rsid w:val="00BA32EE"/>
    <w:rsid w:val="00BA72C0"/>
    <w:rsid w:val="00BB5B36"/>
    <w:rsid w:val="00BC027B"/>
    <w:rsid w:val="00BC30A6"/>
    <w:rsid w:val="00BC34EA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34F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A4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17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ECA5AB-7E0E-4F9B-8BA7-0B4FFD7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5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55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5569"/>
    <w:rPr>
      <w:b/>
      <w:bCs/>
    </w:rPr>
  </w:style>
  <w:style w:type="paragraph" w:styleId="Revision">
    <w:name w:val="Revision"/>
    <w:hidden/>
    <w:uiPriority w:val="99"/>
    <w:semiHidden/>
    <w:rsid w:val="00B44999"/>
    <w:rPr>
      <w:sz w:val="24"/>
      <w:szCs w:val="24"/>
    </w:rPr>
  </w:style>
  <w:style w:type="character" w:styleId="Hyperlink">
    <w:name w:val="Hyperlink"/>
    <w:basedOn w:val="DefaultParagraphFont"/>
    <w:unhideWhenUsed/>
    <w:rsid w:val="001338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A7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3387</Characters>
  <Application>Microsoft Office Word</Application>
  <DocSecurity>4</DocSecurity>
  <Lines>78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SB00745 (Committee Report (Unamended))</vt:lpstr>
    </vt:vector>
  </TitlesOfParts>
  <Company>State of Texas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27970</dc:subject>
  <dc:creator>State of Texas</dc:creator>
  <dc:description>SB 745 by Kolkhorst-(H)Human Services</dc:description>
  <cp:lastModifiedBy>Stacey Nicchio</cp:lastModifiedBy>
  <cp:revision>2</cp:revision>
  <cp:lastPrinted>2003-11-26T17:21:00Z</cp:lastPrinted>
  <dcterms:created xsi:type="dcterms:W3CDTF">2023-05-08T19:34:00Z</dcterms:created>
  <dcterms:modified xsi:type="dcterms:W3CDTF">2023-05-08T19:34:00Z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23.124.1740</vt:lpwstr>
  </property>
</Properties>
</file>