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D5D7F" w14:paraId="7B5F6BC6" w14:textId="77777777" w:rsidTr="00345119">
        <w:tc>
          <w:tcPr>
            <w:tcW w:w="9576" w:type="dxa"/>
            <w:noWrap/>
          </w:tcPr>
          <w:p w14:paraId="7E78CD0D" w14:textId="77777777" w:rsidR="008423E4" w:rsidRPr="0022177D" w:rsidRDefault="00EB7626" w:rsidP="006A6DEF">
            <w:pPr>
              <w:pStyle w:val="Heading1"/>
            </w:pPr>
            <w:r w:rsidRPr="00631897">
              <w:t>BILL ANALYSIS</w:t>
            </w:r>
          </w:p>
        </w:tc>
      </w:tr>
    </w:tbl>
    <w:p w14:paraId="16B6751B" w14:textId="77777777" w:rsidR="008423E4" w:rsidRPr="0022177D" w:rsidRDefault="008423E4" w:rsidP="006A6DEF">
      <w:pPr>
        <w:jc w:val="center"/>
      </w:pPr>
    </w:p>
    <w:p w14:paraId="70B74F1E" w14:textId="77777777" w:rsidR="008423E4" w:rsidRPr="00B31F0E" w:rsidRDefault="008423E4" w:rsidP="006A6DEF"/>
    <w:p w14:paraId="43632896" w14:textId="77777777" w:rsidR="008423E4" w:rsidRPr="00742794" w:rsidRDefault="008423E4" w:rsidP="006A6DEF">
      <w:pPr>
        <w:tabs>
          <w:tab w:val="right" w:pos="9360"/>
        </w:tabs>
      </w:pPr>
    </w:p>
    <w:tbl>
      <w:tblPr>
        <w:tblW w:w="0" w:type="auto"/>
        <w:tblLayout w:type="fixed"/>
        <w:tblLook w:val="01E0" w:firstRow="1" w:lastRow="1" w:firstColumn="1" w:lastColumn="1" w:noHBand="0" w:noVBand="0"/>
      </w:tblPr>
      <w:tblGrid>
        <w:gridCol w:w="9576"/>
      </w:tblGrid>
      <w:tr w:rsidR="00DD5D7F" w14:paraId="292B8D2D" w14:textId="77777777" w:rsidTr="00345119">
        <w:tc>
          <w:tcPr>
            <w:tcW w:w="9576" w:type="dxa"/>
          </w:tcPr>
          <w:p w14:paraId="4E18D18A" w14:textId="77777777" w:rsidR="008423E4" w:rsidRPr="00861995" w:rsidRDefault="00EB7626" w:rsidP="006A6DEF">
            <w:pPr>
              <w:jc w:val="right"/>
            </w:pPr>
            <w:r>
              <w:t>C.S.S.B. 785</w:t>
            </w:r>
          </w:p>
        </w:tc>
      </w:tr>
      <w:tr w:rsidR="00DD5D7F" w14:paraId="03EDD411" w14:textId="77777777" w:rsidTr="00345119">
        <w:tc>
          <w:tcPr>
            <w:tcW w:w="9576" w:type="dxa"/>
          </w:tcPr>
          <w:p w14:paraId="06D3BC5C" w14:textId="77777777" w:rsidR="008423E4" w:rsidRPr="00861995" w:rsidRDefault="00EB7626" w:rsidP="006A6DEF">
            <w:pPr>
              <w:jc w:val="right"/>
            </w:pPr>
            <w:r>
              <w:t xml:space="preserve">By: </w:t>
            </w:r>
            <w:r w:rsidR="00DB1C93">
              <w:t>Birdwell</w:t>
            </w:r>
          </w:p>
        </w:tc>
      </w:tr>
      <w:tr w:rsidR="00DD5D7F" w14:paraId="096EB92C" w14:textId="77777777" w:rsidTr="00345119">
        <w:tc>
          <w:tcPr>
            <w:tcW w:w="9576" w:type="dxa"/>
          </w:tcPr>
          <w:p w14:paraId="55ED3DF5" w14:textId="77777777" w:rsidR="008423E4" w:rsidRPr="00861995" w:rsidRDefault="00EB7626" w:rsidP="006A6DEF">
            <w:pPr>
              <w:jc w:val="right"/>
            </w:pPr>
            <w:r>
              <w:t>Energy Resources</w:t>
            </w:r>
          </w:p>
        </w:tc>
      </w:tr>
      <w:tr w:rsidR="00DD5D7F" w14:paraId="7CA73673" w14:textId="77777777" w:rsidTr="00345119">
        <w:tc>
          <w:tcPr>
            <w:tcW w:w="9576" w:type="dxa"/>
          </w:tcPr>
          <w:p w14:paraId="77C2864D" w14:textId="77777777" w:rsidR="008423E4" w:rsidRDefault="00EB7626" w:rsidP="006A6DEF">
            <w:pPr>
              <w:jc w:val="right"/>
            </w:pPr>
            <w:r>
              <w:t>Committee Report (Substituted)</w:t>
            </w:r>
          </w:p>
        </w:tc>
      </w:tr>
    </w:tbl>
    <w:p w14:paraId="35E0CAFF" w14:textId="77777777" w:rsidR="008423E4" w:rsidRDefault="008423E4" w:rsidP="006A6DEF">
      <w:pPr>
        <w:tabs>
          <w:tab w:val="right" w:pos="9360"/>
        </w:tabs>
      </w:pPr>
    </w:p>
    <w:p w14:paraId="0BD85DCD" w14:textId="77777777" w:rsidR="008423E4" w:rsidRDefault="008423E4" w:rsidP="006A6DEF"/>
    <w:p w14:paraId="069327B1" w14:textId="77777777" w:rsidR="008423E4" w:rsidRDefault="008423E4" w:rsidP="006A6DEF"/>
    <w:tbl>
      <w:tblPr>
        <w:tblW w:w="0" w:type="auto"/>
        <w:tblCellMar>
          <w:left w:w="115" w:type="dxa"/>
          <w:right w:w="115" w:type="dxa"/>
        </w:tblCellMar>
        <w:tblLook w:val="01E0" w:firstRow="1" w:lastRow="1" w:firstColumn="1" w:lastColumn="1" w:noHBand="0" w:noVBand="0"/>
      </w:tblPr>
      <w:tblGrid>
        <w:gridCol w:w="9360"/>
      </w:tblGrid>
      <w:tr w:rsidR="00DD5D7F" w14:paraId="2FFC2B88" w14:textId="77777777" w:rsidTr="00345119">
        <w:tc>
          <w:tcPr>
            <w:tcW w:w="9576" w:type="dxa"/>
          </w:tcPr>
          <w:p w14:paraId="566656D7" w14:textId="77777777" w:rsidR="008423E4" w:rsidRPr="00A8133F" w:rsidRDefault="00EB7626" w:rsidP="006A6DEF">
            <w:pPr>
              <w:rPr>
                <w:b/>
              </w:rPr>
            </w:pPr>
            <w:r w:rsidRPr="009C1E9A">
              <w:rPr>
                <w:b/>
                <w:u w:val="single"/>
              </w:rPr>
              <w:t>BACKGROUND AND PURPOSE</w:t>
            </w:r>
            <w:r>
              <w:rPr>
                <w:b/>
              </w:rPr>
              <w:t xml:space="preserve"> </w:t>
            </w:r>
          </w:p>
          <w:p w14:paraId="2F1E5005" w14:textId="77777777" w:rsidR="008423E4" w:rsidRDefault="008423E4" w:rsidP="006A6DEF"/>
          <w:p w14:paraId="6BBAFFC0" w14:textId="336E5AEB" w:rsidR="00EB6794" w:rsidRDefault="00EB7626" w:rsidP="006A6DEF">
            <w:pPr>
              <w:pStyle w:val="Header"/>
              <w:jc w:val="both"/>
            </w:pPr>
            <w:r>
              <w:t xml:space="preserve">State statute does not adequately address the ownership of geothermal energy and associated resources. C.S.S.B. 785 seeks to </w:t>
            </w:r>
            <w:r>
              <w:t>address this issue by establishing that, except as otherwise expressly provided by an applicable binding obligation, the geothermal energy and associated resources below the surface of land are owned as real property by the landowner or, if the surface est</w:t>
            </w:r>
            <w:r>
              <w:t>ate and the mineral estate of the land have been severed, the owner of the surface estate of the land.</w:t>
            </w:r>
          </w:p>
          <w:p w14:paraId="037B65C7" w14:textId="77777777" w:rsidR="008423E4" w:rsidRPr="00E26B13" w:rsidRDefault="008423E4" w:rsidP="006A6DEF">
            <w:pPr>
              <w:jc w:val="both"/>
              <w:rPr>
                <w:b/>
              </w:rPr>
            </w:pPr>
          </w:p>
        </w:tc>
      </w:tr>
      <w:tr w:rsidR="00DD5D7F" w14:paraId="43548B4F" w14:textId="77777777" w:rsidTr="00345119">
        <w:tc>
          <w:tcPr>
            <w:tcW w:w="9576" w:type="dxa"/>
          </w:tcPr>
          <w:p w14:paraId="781EC8A2" w14:textId="77777777" w:rsidR="0017725B" w:rsidRDefault="00EB7626" w:rsidP="006A6DEF">
            <w:pPr>
              <w:rPr>
                <w:b/>
                <w:u w:val="single"/>
              </w:rPr>
            </w:pPr>
            <w:r>
              <w:rPr>
                <w:b/>
                <w:u w:val="single"/>
              </w:rPr>
              <w:t>CRIMINAL JUSTICE IMPACT</w:t>
            </w:r>
          </w:p>
          <w:p w14:paraId="5003F2F3" w14:textId="77777777" w:rsidR="0017725B" w:rsidRDefault="0017725B" w:rsidP="006A6DEF">
            <w:pPr>
              <w:rPr>
                <w:b/>
                <w:u w:val="single"/>
              </w:rPr>
            </w:pPr>
          </w:p>
          <w:p w14:paraId="0B7C1136" w14:textId="31ACF519" w:rsidR="00AA5576" w:rsidRPr="00AA5576" w:rsidRDefault="00EB7626" w:rsidP="006A6DEF">
            <w:pPr>
              <w:jc w:val="both"/>
            </w:pPr>
            <w:r>
              <w:t>It is the committee's opinion that this bill does not expressly create a criminal offense, increase the punishment for an exis</w:t>
            </w:r>
            <w:r>
              <w:t>ting criminal offense or category of offenses, or change the eligibility of a person for community supervision, parole, or mandatory supervision.</w:t>
            </w:r>
          </w:p>
          <w:p w14:paraId="182AF70E" w14:textId="77777777" w:rsidR="0017725B" w:rsidRPr="0017725B" w:rsidRDefault="0017725B" w:rsidP="006A6DEF">
            <w:pPr>
              <w:rPr>
                <w:b/>
                <w:u w:val="single"/>
              </w:rPr>
            </w:pPr>
          </w:p>
        </w:tc>
      </w:tr>
      <w:tr w:rsidR="00DD5D7F" w14:paraId="1E0446A4" w14:textId="77777777" w:rsidTr="00345119">
        <w:tc>
          <w:tcPr>
            <w:tcW w:w="9576" w:type="dxa"/>
          </w:tcPr>
          <w:p w14:paraId="1D712A85" w14:textId="77777777" w:rsidR="008423E4" w:rsidRPr="00A8133F" w:rsidRDefault="00EB7626" w:rsidP="006A6DEF">
            <w:pPr>
              <w:rPr>
                <w:b/>
              </w:rPr>
            </w:pPr>
            <w:r w:rsidRPr="009C1E9A">
              <w:rPr>
                <w:b/>
                <w:u w:val="single"/>
              </w:rPr>
              <w:t>RULEMAKING AUTHORITY</w:t>
            </w:r>
            <w:r>
              <w:rPr>
                <w:b/>
              </w:rPr>
              <w:t xml:space="preserve"> </w:t>
            </w:r>
          </w:p>
          <w:p w14:paraId="1978FB79" w14:textId="77777777" w:rsidR="008423E4" w:rsidRDefault="008423E4" w:rsidP="006A6DEF"/>
          <w:p w14:paraId="0055293E" w14:textId="5E1BD55C" w:rsidR="00BA6F2F" w:rsidRDefault="00EB7626" w:rsidP="006A6DEF">
            <w:pPr>
              <w:pStyle w:val="Header"/>
              <w:tabs>
                <w:tab w:val="clear" w:pos="4320"/>
                <w:tab w:val="clear" w:pos="8640"/>
              </w:tabs>
              <w:jc w:val="both"/>
            </w:pPr>
            <w:r>
              <w:t xml:space="preserve">It is the committee's opinion that this bill does not expressly grant any additional </w:t>
            </w:r>
            <w:r>
              <w:t>rulemaking authority to a state officer, department, agency, or institution.</w:t>
            </w:r>
          </w:p>
          <w:p w14:paraId="204BFBB6" w14:textId="77777777" w:rsidR="008423E4" w:rsidRPr="00E21FDC" w:rsidRDefault="008423E4" w:rsidP="006A6DEF">
            <w:pPr>
              <w:rPr>
                <w:b/>
              </w:rPr>
            </w:pPr>
          </w:p>
        </w:tc>
      </w:tr>
      <w:tr w:rsidR="00DD5D7F" w14:paraId="4C86D727" w14:textId="77777777" w:rsidTr="00345119">
        <w:tc>
          <w:tcPr>
            <w:tcW w:w="9576" w:type="dxa"/>
          </w:tcPr>
          <w:p w14:paraId="2516CD08" w14:textId="77777777" w:rsidR="008423E4" w:rsidRPr="00A8133F" w:rsidRDefault="00EB7626" w:rsidP="006A6DEF">
            <w:pPr>
              <w:rPr>
                <w:b/>
              </w:rPr>
            </w:pPr>
            <w:r w:rsidRPr="009C1E9A">
              <w:rPr>
                <w:b/>
                <w:u w:val="single"/>
              </w:rPr>
              <w:t>ANALYSIS</w:t>
            </w:r>
            <w:r>
              <w:rPr>
                <w:b/>
              </w:rPr>
              <w:t xml:space="preserve"> </w:t>
            </w:r>
          </w:p>
          <w:p w14:paraId="76C4825F" w14:textId="77777777" w:rsidR="008423E4" w:rsidRDefault="008423E4" w:rsidP="006A6DEF"/>
          <w:p w14:paraId="3E62BDF4" w14:textId="3424DBED" w:rsidR="00A839C2" w:rsidRDefault="00EB7626" w:rsidP="006A6DEF">
            <w:pPr>
              <w:pStyle w:val="Header"/>
              <w:tabs>
                <w:tab w:val="clear" w:pos="4320"/>
                <w:tab w:val="clear" w:pos="8640"/>
              </w:tabs>
              <w:jc w:val="both"/>
            </w:pPr>
            <w:r>
              <w:t xml:space="preserve">C.S.S.B. 785 amends the </w:t>
            </w:r>
            <w:r w:rsidRPr="00A839C2">
              <w:t>Natural Resources Code</w:t>
            </w:r>
            <w:r>
              <w:t xml:space="preserve"> to establish that, except as otherwise expressly provided by a conveyance, contract, deed, reservation, exception, limitation, lease, or other binding obligation, the geothermal energy and associated resources below the surface of land are owned as real p</w:t>
            </w:r>
            <w:r>
              <w:t>roperty by the following:</w:t>
            </w:r>
          </w:p>
          <w:p w14:paraId="32CD6AAA" w14:textId="17A7161A" w:rsidR="00A839C2" w:rsidRDefault="00EB7626" w:rsidP="006A6DEF">
            <w:pPr>
              <w:pStyle w:val="Header"/>
              <w:numPr>
                <w:ilvl w:val="0"/>
                <w:numId w:val="1"/>
              </w:numPr>
              <w:jc w:val="both"/>
            </w:pPr>
            <w:r>
              <w:t>the landowner; or</w:t>
            </w:r>
          </w:p>
          <w:p w14:paraId="44FE0D85" w14:textId="4443948C" w:rsidR="00A839C2" w:rsidRDefault="00EB7626" w:rsidP="006A6DEF">
            <w:pPr>
              <w:pStyle w:val="Header"/>
              <w:numPr>
                <w:ilvl w:val="0"/>
                <w:numId w:val="1"/>
              </w:numPr>
              <w:jc w:val="both"/>
            </w:pPr>
            <w:r>
              <w:t>if the surface estate and the mineral estate of the land have been severed, the owner of the surface estate of the land.</w:t>
            </w:r>
          </w:p>
          <w:p w14:paraId="42999665" w14:textId="7E01EFD1" w:rsidR="00A839C2" w:rsidRDefault="00EB7626" w:rsidP="006A6DEF">
            <w:pPr>
              <w:pStyle w:val="Header"/>
              <w:jc w:val="both"/>
            </w:pPr>
            <w:r>
              <w:t>The bill establishes that, subject to the</w:t>
            </w:r>
            <w:r w:rsidRPr="00A839C2">
              <w:t xml:space="preserve"> Geothermal Resources Act of 1975</w:t>
            </w:r>
            <w:r>
              <w:t>, the property rights described by these provisions of the bill entitle the owner of the geothermal energy and associated resources below the surface of land and the owner's lessee, heir, or assignee to drill for and produc</w:t>
            </w:r>
            <w:r>
              <w:t>e the geothermal energy and associated resources.</w:t>
            </w:r>
            <w:r w:rsidR="006A2B60">
              <w:t xml:space="preserve"> Such provisions</w:t>
            </w:r>
            <w:r>
              <w:t xml:space="preserve"> expressly do not</w:t>
            </w:r>
            <w:r w:rsidR="006A2B60">
              <w:t xml:space="preserve"> do the following</w:t>
            </w:r>
            <w:r>
              <w:t>:</w:t>
            </w:r>
          </w:p>
          <w:p w14:paraId="34927EDF" w14:textId="36F7E345" w:rsidR="00A839C2" w:rsidRDefault="00EB7626" w:rsidP="006A6DEF">
            <w:pPr>
              <w:pStyle w:val="Header"/>
              <w:numPr>
                <w:ilvl w:val="0"/>
                <w:numId w:val="3"/>
              </w:numPr>
              <w:jc w:val="both"/>
            </w:pPr>
            <w:r>
              <w:t>apply to minerals dissolved or otherwise contained in groundwater, including in hot brines; or</w:t>
            </w:r>
          </w:p>
          <w:p w14:paraId="4827E9FD" w14:textId="6CBC0ACC" w:rsidR="00A839C2" w:rsidRDefault="00EB7626" w:rsidP="006A6DEF">
            <w:pPr>
              <w:pStyle w:val="Header"/>
              <w:numPr>
                <w:ilvl w:val="0"/>
                <w:numId w:val="3"/>
              </w:numPr>
              <w:jc w:val="both"/>
            </w:pPr>
            <w:r>
              <w:t>change existing law regarding</w:t>
            </w:r>
            <w:r w:rsidR="006A2B60">
              <w:t xml:space="preserve"> the following</w:t>
            </w:r>
            <w:r>
              <w:t>:</w:t>
            </w:r>
          </w:p>
          <w:p w14:paraId="7C34D06B" w14:textId="04F73152" w:rsidR="00A839C2" w:rsidRDefault="00EB7626" w:rsidP="006A6DEF">
            <w:pPr>
              <w:pStyle w:val="Header"/>
              <w:numPr>
                <w:ilvl w:val="1"/>
                <w:numId w:val="3"/>
              </w:numPr>
              <w:jc w:val="both"/>
            </w:pPr>
            <w:r>
              <w:t>oil, gas, or mi</w:t>
            </w:r>
            <w:r>
              <w:t>neral extraction regardless of its heat or energy potential;</w:t>
            </w:r>
          </w:p>
          <w:p w14:paraId="74419EF1" w14:textId="15A8862E" w:rsidR="00A839C2" w:rsidRDefault="00EB7626" w:rsidP="006A6DEF">
            <w:pPr>
              <w:pStyle w:val="Header"/>
              <w:numPr>
                <w:ilvl w:val="1"/>
                <w:numId w:val="3"/>
              </w:numPr>
              <w:jc w:val="both"/>
            </w:pPr>
            <w:r>
              <w:t>the rights of the dominant and servient estates; or</w:t>
            </w:r>
          </w:p>
          <w:p w14:paraId="6BCA67E0" w14:textId="7D3060C8" w:rsidR="009C36CD" w:rsidRDefault="00EB7626" w:rsidP="006A6DEF">
            <w:pPr>
              <w:pStyle w:val="Header"/>
              <w:numPr>
                <w:ilvl w:val="1"/>
                <w:numId w:val="3"/>
              </w:numPr>
              <w:tabs>
                <w:tab w:val="clear" w:pos="4320"/>
                <w:tab w:val="clear" w:pos="8640"/>
              </w:tabs>
              <w:jc w:val="both"/>
            </w:pPr>
            <w:r>
              <w:t xml:space="preserve">the ownership and use of groundwater. </w:t>
            </w:r>
          </w:p>
          <w:p w14:paraId="771AE76D" w14:textId="5DA2B5FE" w:rsidR="006A2B60" w:rsidRDefault="006A2B60" w:rsidP="006A6DEF">
            <w:pPr>
              <w:pStyle w:val="Header"/>
              <w:tabs>
                <w:tab w:val="clear" w:pos="4320"/>
                <w:tab w:val="clear" w:pos="8640"/>
              </w:tabs>
              <w:jc w:val="both"/>
            </w:pPr>
          </w:p>
          <w:p w14:paraId="58FEECCE" w14:textId="53438790" w:rsidR="00D2404F" w:rsidRDefault="00EB7626" w:rsidP="006A6DEF">
            <w:pPr>
              <w:pStyle w:val="Header"/>
              <w:tabs>
                <w:tab w:val="clear" w:pos="4320"/>
                <w:tab w:val="clear" w:pos="8640"/>
              </w:tabs>
              <w:jc w:val="both"/>
            </w:pPr>
            <w:r>
              <w:t xml:space="preserve">C.S.S.B. 785 excludes the following from the term </w:t>
            </w:r>
            <w:r w:rsidRPr="00D2404F">
              <w:t>"</w:t>
            </w:r>
            <w:r>
              <w:t>b</w:t>
            </w:r>
            <w:r w:rsidRPr="00D2404F">
              <w:t>y-product"</w:t>
            </w:r>
            <w:r>
              <w:t xml:space="preserve"> as applicable to the act:</w:t>
            </w:r>
          </w:p>
          <w:p w14:paraId="47A56E0A" w14:textId="464FB694" w:rsidR="00D2404F" w:rsidRDefault="00EB7626" w:rsidP="006A6DEF">
            <w:pPr>
              <w:pStyle w:val="Header"/>
              <w:numPr>
                <w:ilvl w:val="0"/>
                <w:numId w:val="5"/>
              </w:numPr>
              <w:jc w:val="both"/>
            </w:pPr>
            <w:r>
              <w:t xml:space="preserve">a </w:t>
            </w:r>
            <w:r>
              <w:t>mineral, as defined by Property Code provisions relating to unclaimed property with respect to Texas minerals; or</w:t>
            </w:r>
          </w:p>
          <w:p w14:paraId="462CBDEB" w14:textId="63F7E844" w:rsidR="00D2404F" w:rsidRDefault="00EB7626" w:rsidP="006A6DEF">
            <w:pPr>
              <w:pStyle w:val="Header"/>
              <w:numPr>
                <w:ilvl w:val="0"/>
                <w:numId w:val="5"/>
              </w:numPr>
              <w:tabs>
                <w:tab w:val="clear" w:pos="4320"/>
                <w:tab w:val="clear" w:pos="8640"/>
              </w:tabs>
              <w:jc w:val="both"/>
            </w:pPr>
            <w:r>
              <w:t xml:space="preserve">oil, gas, or a product of oil or gas, as defined by Natural Resources Code </w:t>
            </w:r>
            <w:r w:rsidR="00E72936">
              <w:t>provisions relating to the conservation of oil and gas</w:t>
            </w:r>
            <w:r>
              <w:t xml:space="preserve">. </w:t>
            </w:r>
          </w:p>
          <w:p w14:paraId="2DF56FBB" w14:textId="0C8F222F" w:rsidR="00E72936" w:rsidRDefault="00E72936" w:rsidP="006A6DEF">
            <w:pPr>
              <w:pStyle w:val="Header"/>
              <w:tabs>
                <w:tab w:val="clear" w:pos="4320"/>
                <w:tab w:val="clear" w:pos="8640"/>
              </w:tabs>
              <w:jc w:val="both"/>
            </w:pPr>
          </w:p>
          <w:p w14:paraId="6A1F1912" w14:textId="0B6BF3F8" w:rsidR="00E72936" w:rsidRDefault="00EB7626" w:rsidP="006A6DEF">
            <w:pPr>
              <w:pStyle w:val="Header"/>
              <w:tabs>
                <w:tab w:val="clear" w:pos="4320"/>
                <w:tab w:val="clear" w:pos="8640"/>
              </w:tabs>
              <w:jc w:val="both"/>
            </w:pPr>
            <w:r>
              <w:t xml:space="preserve">C.S.S.B. </w:t>
            </w:r>
            <w:r>
              <w:t xml:space="preserve">785 amends the </w:t>
            </w:r>
            <w:r w:rsidRPr="00E72936">
              <w:t>Insurance Code</w:t>
            </w:r>
            <w:r w:rsidR="001500BA">
              <w:t xml:space="preserve"> to provide for an exception </w:t>
            </w:r>
            <w:r w:rsidR="003D080A">
              <w:t xml:space="preserve">from coverage in a </w:t>
            </w:r>
            <w:r w:rsidR="001500BA">
              <w:t xml:space="preserve">title insurance </w:t>
            </w:r>
            <w:r w:rsidR="003D080A">
              <w:t>policy</w:t>
            </w:r>
            <w:r w:rsidR="001500BA">
              <w:t xml:space="preserve"> for </w:t>
            </w:r>
            <w:r w:rsidR="001500BA" w:rsidRPr="001500BA">
              <w:t>the geothermal energy and associated resources below the surface of the land</w:t>
            </w:r>
            <w:r w:rsidR="001500BA">
              <w:t xml:space="preserve"> in the same manner that such an exception is provided for a mineral estate.</w:t>
            </w:r>
          </w:p>
          <w:p w14:paraId="4EFFF5D5" w14:textId="77777777" w:rsidR="008423E4" w:rsidRPr="00835628" w:rsidRDefault="008423E4" w:rsidP="006A6DEF">
            <w:pPr>
              <w:rPr>
                <w:b/>
              </w:rPr>
            </w:pPr>
          </w:p>
        </w:tc>
      </w:tr>
      <w:tr w:rsidR="00DD5D7F" w14:paraId="7A501197" w14:textId="77777777" w:rsidTr="00345119">
        <w:tc>
          <w:tcPr>
            <w:tcW w:w="9576" w:type="dxa"/>
          </w:tcPr>
          <w:p w14:paraId="6BF8C6C9" w14:textId="77777777" w:rsidR="008423E4" w:rsidRPr="00A8133F" w:rsidRDefault="00EB7626" w:rsidP="006A6DEF">
            <w:pPr>
              <w:rPr>
                <w:b/>
              </w:rPr>
            </w:pPr>
            <w:r w:rsidRPr="009C1E9A">
              <w:rPr>
                <w:b/>
                <w:u w:val="single"/>
              </w:rPr>
              <w:t>EFFECTIVE DATE</w:t>
            </w:r>
            <w:r>
              <w:rPr>
                <w:b/>
              </w:rPr>
              <w:t xml:space="preserve"> </w:t>
            </w:r>
          </w:p>
          <w:p w14:paraId="41EF0222" w14:textId="77777777" w:rsidR="008423E4" w:rsidRDefault="008423E4" w:rsidP="006A6DEF"/>
          <w:p w14:paraId="0931A899" w14:textId="6B8DFAF7" w:rsidR="008423E4" w:rsidRPr="003624F2" w:rsidRDefault="00EB7626" w:rsidP="006A6DEF">
            <w:pPr>
              <w:pStyle w:val="Header"/>
              <w:tabs>
                <w:tab w:val="clear" w:pos="4320"/>
                <w:tab w:val="clear" w:pos="8640"/>
              </w:tabs>
              <w:jc w:val="both"/>
            </w:pPr>
            <w:r>
              <w:t>On passage, or, if the bill does not receive the necessary vote, September 1, 2023.</w:t>
            </w:r>
          </w:p>
          <w:p w14:paraId="511DABAE" w14:textId="77777777" w:rsidR="008423E4" w:rsidRPr="00233FDB" w:rsidRDefault="008423E4" w:rsidP="006A6DEF">
            <w:pPr>
              <w:rPr>
                <w:b/>
              </w:rPr>
            </w:pPr>
          </w:p>
        </w:tc>
      </w:tr>
      <w:tr w:rsidR="00DD5D7F" w14:paraId="41EDCEEF" w14:textId="77777777" w:rsidTr="00345119">
        <w:tc>
          <w:tcPr>
            <w:tcW w:w="9576" w:type="dxa"/>
          </w:tcPr>
          <w:p w14:paraId="6CBFD6D2" w14:textId="77777777" w:rsidR="00DB1C93" w:rsidRDefault="00EB7626" w:rsidP="006A6DEF">
            <w:pPr>
              <w:jc w:val="both"/>
              <w:rPr>
                <w:b/>
                <w:u w:val="single"/>
              </w:rPr>
            </w:pPr>
            <w:r>
              <w:rPr>
                <w:b/>
                <w:u w:val="single"/>
              </w:rPr>
              <w:t>COMPARISON OF SENATE ENGROSSED AND SUBSTITUTE</w:t>
            </w:r>
          </w:p>
          <w:p w14:paraId="7E1BE9D0" w14:textId="77777777" w:rsidR="00180171" w:rsidRDefault="00180171" w:rsidP="006A6DEF">
            <w:pPr>
              <w:jc w:val="both"/>
            </w:pPr>
          </w:p>
          <w:p w14:paraId="7DF712F4" w14:textId="006C9C5B" w:rsidR="00180171" w:rsidRDefault="00EB7626" w:rsidP="006A6DEF">
            <w:pPr>
              <w:jc w:val="both"/>
            </w:pPr>
            <w:r>
              <w:t>While C.S.S.B</w:t>
            </w:r>
            <w:r>
              <w:t>. 785 may differ from the engrossed in minor or nonsubstantive ways, the following summarizes the substantial differences between the engrossed and committee substitute versions of the bill.</w:t>
            </w:r>
          </w:p>
          <w:p w14:paraId="61B6F605" w14:textId="4309090A" w:rsidR="00180171" w:rsidRDefault="00180171" w:rsidP="006A6DEF">
            <w:pPr>
              <w:jc w:val="both"/>
            </w:pPr>
          </w:p>
          <w:p w14:paraId="4CACA72A" w14:textId="6703D2FB" w:rsidR="00180171" w:rsidRDefault="00EB7626" w:rsidP="006A6DEF">
            <w:pPr>
              <w:jc w:val="both"/>
            </w:pPr>
            <w:r>
              <w:t xml:space="preserve">The </w:t>
            </w:r>
            <w:r w:rsidRPr="00180171">
              <w:t>substitute includes a provision absent in the introduced tha</w:t>
            </w:r>
            <w:r w:rsidRPr="00180171">
              <w:t xml:space="preserve">t </w:t>
            </w:r>
            <w:r>
              <w:t xml:space="preserve">establishes that the bill's provisions relating to the ownership of geothermal energy and associated resources expressly do not </w:t>
            </w:r>
            <w:r w:rsidRPr="00180171">
              <w:t>change existing law regarding</w:t>
            </w:r>
            <w:r>
              <w:t xml:space="preserve"> </w:t>
            </w:r>
            <w:r w:rsidRPr="00180171">
              <w:t>the ownership and use of groundwater</w:t>
            </w:r>
            <w:r>
              <w:t>.</w:t>
            </w:r>
            <w:r w:rsidRPr="00180171">
              <w:t xml:space="preserve"> </w:t>
            </w:r>
          </w:p>
          <w:p w14:paraId="18C1DBC6" w14:textId="3B22338D" w:rsidR="00A70F6C" w:rsidRDefault="00A70F6C" w:rsidP="006A6DEF">
            <w:pPr>
              <w:jc w:val="both"/>
            </w:pPr>
          </w:p>
          <w:p w14:paraId="412B5D29" w14:textId="613C17CE" w:rsidR="00A70F6C" w:rsidRDefault="00EB7626" w:rsidP="006A6DEF">
            <w:pPr>
              <w:jc w:val="both"/>
            </w:pPr>
            <w:r w:rsidRPr="00A70F6C">
              <w:t>The substitute includes provisions absent in the introdu</w:t>
            </w:r>
            <w:r w:rsidRPr="00A70F6C">
              <w:t>ced that</w:t>
            </w:r>
            <w:r>
              <w:t xml:space="preserve"> </w:t>
            </w:r>
            <w:r w:rsidRPr="00A70F6C">
              <w:t>provide for an exception from coverage in a title insurance policy for the geothermal energy and associated resources below the surface of the land in the same manner that such an exception is provided for a mineral estate.</w:t>
            </w:r>
          </w:p>
          <w:p w14:paraId="16A137FE" w14:textId="0A9F0830" w:rsidR="00180171" w:rsidRPr="00180171" w:rsidRDefault="00180171" w:rsidP="006A6DEF">
            <w:pPr>
              <w:jc w:val="both"/>
            </w:pPr>
          </w:p>
        </w:tc>
      </w:tr>
      <w:tr w:rsidR="00DD5D7F" w14:paraId="3BFC6A02" w14:textId="77777777" w:rsidTr="00345119">
        <w:tc>
          <w:tcPr>
            <w:tcW w:w="9576" w:type="dxa"/>
          </w:tcPr>
          <w:p w14:paraId="5B28817C" w14:textId="77777777" w:rsidR="00DB1C93" w:rsidRPr="009C1E9A" w:rsidRDefault="00DB1C93" w:rsidP="006A6DEF">
            <w:pPr>
              <w:rPr>
                <w:b/>
                <w:u w:val="single"/>
              </w:rPr>
            </w:pPr>
          </w:p>
        </w:tc>
      </w:tr>
      <w:tr w:rsidR="00DD5D7F" w14:paraId="6AE20126" w14:textId="77777777" w:rsidTr="00345119">
        <w:tc>
          <w:tcPr>
            <w:tcW w:w="9576" w:type="dxa"/>
          </w:tcPr>
          <w:p w14:paraId="5D7BA125" w14:textId="77777777" w:rsidR="00DB1C93" w:rsidRPr="00DB1C93" w:rsidRDefault="00DB1C93" w:rsidP="006A6DEF">
            <w:pPr>
              <w:jc w:val="both"/>
            </w:pPr>
          </w:p>
        </w:tc>
      </w:tr>
    </w:tbl>
    <w:p w14:paraId="7B53008B" w14:textId="77777777" w:rsidR="008423E4" w:rsidRPr="00BE0E75" w:rsidRDefault="008423E4" w:rsidP="006A6DEF">
      <w:pPr>
        <w:jc w:val="both"/>
        <w:rPr>
          <w:rFonts w:ascii="Arial" w:hAnsi="Arial"/>
          <w:sz w:val="16"/>
          <w:szCs w:val="16"/>
        </w:rPr>
      </w:pPr>
    </w:p>
    <w:p w14:paraId="3A48CA82" w14:textId="77777777" w:rsidR="004108C3" w:rsidRPr="008423E4" w:rsidRDefault="004108C3" w:rsidP="006A6DE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8F81" w14:textId="77777777" w:rsidR="00000000" w:rsidRDefault="00EB7626">
      <w:r>
        <w:separator/>
      </w:r>
    </w:p>
  </w:endnote>
  <w:endnote w:type="continuationSeparator" w:id="0">
    <w:p w14:paraId="112291C7" w14:textId="77777777" w:rsidR="00000000" w:rsidRDefault="00EB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1EB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D5D7F" w14:paraId="65D93861" w14:textId="77777777" w:rsidTr="009C1E9A">
      <w:trPr>
        <w:cantSplit/>
      </w:trPr>
      <w:tc>
        <w:tcPr>
          <w:tcW w:w="0" w:type="pct"/>
        </w:tcPr>
        <w:p w14:paraId="1E5539F2" w14:textId="77777777" w:rsidR="00137D90" w:rsidRDefault="00137D90" w:rsidP="009C1E9A">
          <w:pPr>
            <w:pStyle w:val="Footer"/>
            <w:tabs>
              <w:tab w:val="clear" w:pos="8640"/>
              <w:tab w:val="right" w:pos="9360"/>
            </w:tabs>
          </w:pPr>
        </w:p>
      </w:tc>
      <w:tc>
        <w:tcPr>
          <w:tcW w:w="2395" w:type="pct"/>
        </w:tcPr>
        <w:p w14:paraId="469CB216" w14:textId="77777777" w:rsidR="00137D90" w:rsidRDefault="00137D90" w:rsidP="009C1E9A">
          <w:pPr>
            <w:pStyle w:val="Footer"/>
            <w:tabs>
              <w:tab w:val="clear" w:pos="8640"/>
              <w:tab w:val="right" w:pos="9360"/>
            </w:tabs>
          </w:pPr>
        </w:p>
        <w:p w14:paraId="0468C02D" w14:textId="77777777" w:rsidR="001A4310" w:rsidRDefault="001A4310" w:rsidP="009C1E9A">
          <w:pPr>
            <w:pStyle w:val="Footer"/>
            <w:tabs>
              <w:tab w:val="clear" w:pos="8640"/>
              <w:tab w:val="right" w:pos="9360"/>
            </w:tabs>
          </w:pPr>
        </w:p>
        <w:p w14:paraId="41A12B14" w14:textId="77777777" w:rsidR="00137D90" w:rsidRDefault="00137D90" w:rsidP="009C1E9A">
          <w:pPr>
            <w:pStyle w:val="Footer"/>
            <w:tabs>
              <w:tab w:val="clear" w:pos="8640"/>
              <w:tab w:val="right" w:pos="9360"/>
            </w:tabs>
          </w:pPr>
        </w:p>
      </w:tc>
      <w:tc>
        <w:tcPr>
          <w:tcW w:w="2453" w:type="pct"/>
        </w:tcPr>
        <w:p w14:paraId="5EFE88F6" w14:textId="77777777" w:rsidR="00137D90" w:rsidRDefault="00137D90" w:rsidP="009C1E9A">
          <w:pPr>
            <w:pStyle w:val="Footer"/>
            <w:tabs>
              <w:tab w:val="clear" w:pos="8640"/>
              <w:tab w:val="right" w:pos="9360"/>
            </w:tabs>
            <w:jc w:val="right"/>
          </w:pPr>
        </w:p>
      </w:tc>
    </w:tr>
    <w:tr w:rsidR="00DD5D7F" w14:paraId="4E5FC7F3" w14:textId="77777777" w:rsidTr="009C1E9A">
      <w:trPr>
        <w:cantSplit/>
      </w:trPr>
      <w:tc>
        <w:tcPr>
          <w:tcW w:w="0" w:type="pct"/>
        </w:tcPr>
        <w:p w14:paraId="5954DA79" w14:textId="77777777" w:rsidR="00EC379B" w:rsidRDefault="00EC379B" w:rsidP="009C1E9A">
          <w:pPr>
            <w:pStyle w:val="Footer"/>
            <w:tabs>
              <w:tab w:val="clear" w:pos="8640"/>
              <w:tab w:val="right" w:pos="9360"/>
            </w:tabs>
          </w:pPr>
        </w:p>
      </w:tc>
      <w:tc>
        <w:tcPr>
          <w:tcW w:w="2395" w:type="pct"/>
        </w:tcPr>
        <w:p w14:paraId="274E29C0" w14:textId="77777777" w:rsidR="00EC379B" w:rsidRPr="009C1E9A" w:rsidRDefault="00EB7626" w:rsidP="009C1E9A">
          <w:pPr>
            <w:pStyle w:val="Footer"/>
            <w:tabs>
              <w:tab w:val="clear" w:pos="8640"/>
              <w:tab w:val="right" w:pos="9360"/>
            </w:tabs>
            <w:rPr>
              <w:rFonts w:ascii="Shruti" w:hAnsi="Shruti"/>
              <w:sz w:val="22"/>
            </w:rPr>
          </w:pPr>
          <w:r>
            <w:rPr>
              <w:rFonts w:ascii="Shruti" w:hAnsi="Shruti"/>
              <w:sz w:val="22"/>
            </w:rPr>
            <w:t>88R 30615-D</w:t>
          </w:r>
        </w:p>
      </w:tc>
      <w:tc>
        <w:tcPr>
          <w:tcW w:w="2453" w:type="pct"/>
        </w:tcPr>
        <w:p w14:paraId="7CA483C3" w14:textId="7D3F3D2A" w:rsidR="00EC379B" w:rsidRDefault="00EB7626" w:rsidP="009C1E9A">
          <w:pPr>
            <w:pStyle w:val="Footer"/>
            <w:tabs>
              <w:tab w:val="clear" w:pos="8640"/>
              <w:tab w:val="right" w:pos="9360"/>
            </w:tabs>
            <w:jc w:val="right"/>
          </w:pPr>
          <w:r>
            <w:fldChar w:fldCharType="begin"/>
          </w:r>
          <w:r>
            <w:instrText xml:space="preserve"> DOCPROPERTY  OTID  \* MERGEFORMAT </w:instrText>
          </w:r>
          <w:r>
            <w:fldChar w:fldCharType="separate"/>
          </w:r>
          <w:r w:rsidR="006A6DEF">
            <w:t>23.136.63</w:t>
          </w:r>
          <w:r>
            <w:fldChar w:fldCharType="end"/>
          </w:r>
        </w:p>
      </w:tc>
    </w:tr>
    <w:tr w:rsidR="00DD5D7F" w14:paraId="76CE40A9" w14:textId="77777777" w:rsidTr="009C1E9A">
      <w:trPr>
        <w:cantSplit/>
      </w:trPr>
      <w:tc>
        <w:tcPr>
          <w:tcW w:w="0" w:type="pct"/>
        </w:tcPr>
        <w:p w14:paraId="4B8695B6" w14:textId="77777777" w:rsidR="00EC379B" w:rsidRDefault="00EC379B" w:rsidP="009C1E9A">
          <w:pPr>
            <w:pStyle w:val="Footer"/>
            <w:tabs>
              <w:tab w:val="clear" w:pos="4320"/>
              <w:tab w:val="clear" w:pos="8640"/>
              <w:tab w:val="left" w:pos="2865"/>
            </w:tabs>
          </w:pPr>
        </w:p>
      </w:tc>
      <w:tc>
        <w:tcPr>
          <w:tcW w:w="2395" w:type="pct"/>
        </w:tcPr>
        <w:p w14:paraId="052A3832" w14:textId="77777777" w:rsidR="00EC379B" w:rsidRPr="009C1E9A" w:rsidRDefault="00EB7626" w:rsidP="009C1E9A">
          <w:pPr>
            <w:pStyle w:val="Footer"/>
            <w:tabs>
              <w:tab w:val="clear" w:pos="4320"/>
              <w:tab w:val="clear" w:pos="8640"/>
              <w:tab w:val="left" w:pos="2865"/>
            </w:tabs>
            <w:rPr>
              <w:rFonts w:ascii="Shruti" w:hAnsi="Shruti"/>
              <w:sz w:val="22"/>
            </w:rPr>
          </w:pPr>
          <w:r>
            <w:rPr>
              <w:rFonts w:ascii="Shruti" w:hAnsi="Shruti"/>
              <w:sz w:val="22"/>
            </w:rPr>
            <w:t>Substitute Document Number: 88R 26187</w:t>
          </w:r>
        </w:p>
      </w:tc>
      <w:tc>
        <w:tcPr>
          <w:tcW w:w="2453" w:type="pct"/>
        </w:tcPr>
        <w:p w14:paraId="3FBA77CF" w14:textId="77777777" w:rsidR="00EC379B" w:rsidRDefault="00EC379B" w:rsidP="006D504F">
          <w:pPr>
            <w:pStyle w:val="Footer"/>
            <w:rPr>
              <w:rStyle w:val="PageNumber"/>
            </w:rPr>
          </w:pPr>
        </w:p>
        <w:p w14:paraId="6F930907" w14:textId="77777777" w:rsidR="00EC379B" w:rsidRDefault="00EC379B" w:rsidP="009C1E9A">
          <w:pPr>
            <w:pStyle w:val="Footer"/>
            <w:tabs>
              <w:tab w:val="clear" w:pos="8640"/>
              <w:tab w:val="right" w:pos="9360"/>
            </w:tabs>
            <w:jc w:val="right"/>
          </w:pPr>
        </w:p>
      </w:tc>
    </w:tr>
    <w:tr w:rsidR="00DD5D7F" w14:paraId="2AD0E7DD" w14:textId="77777777" w:rsidTr="009C1E9A">
      <w:trPr>
        <w:cantSplit/>
        <w:trHeight w:val="323"/>
      </w:trPr>
      <w:tc>
        <w:tcPr>
          <w:tcW w:w="0" w:type="pct"/>
          <w:gridSpan w:val="3"/>
        </w:tcPr>
        <w:p w14:paraId="61937B9E" w14:textId="77777777" w:rsidR="00EC379B" w:rsidRDefault="00EB762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1FA4FB6" w14:textId="77777777" w:rsidR="00EC379B" w:rsidRDefault="00EC379B" w:rsidP="009C1E9A">
          <w:pPr>
            <w:pStyle w:val="Footer"/>
            <w:tabs>
              <w:tab w:val="clear" w:pos="8640"/>
              <w:tab w:val="right" w:pos="9360"/>
            </w:tabs>
            <w:jc w:val="center"/>
          </w:pPr>
        </w:p>
      </w:tc>
    </w:tr>
  </w:tbl>
  <w:p w14:paraId="2B5BCEB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A75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4682E" w14:textId="77777777" w:rsidR="00000000" w:rsidRDefault="00EB7626">
      <w:r>
        <w:separator/>
      </w:r>
    </w:p>
  </w:footnote>
  <w:footnote w:type="continuationSeparator" w:id="0">
    <w:p w14:paraId="0D1DA3DC" w14:textId="77777777" w:rsidR="00000000" w:rsidRDefault="00EB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ABB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D5C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FEB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F9C"/>
    <w:multiLevelType w:val="hybridMultilevel"/>
    <w:tmpl w:val="825CA244"/>
    <w:lvl w:ilvl="0" w:tplc="227084AA">
      <w:start w:val="1"/>
      <w:numFmt w:val="decimal"/>
      <w:lvlText w:val="(%1)"/>
      <w:lvlJc w:val="left"/>
      <w:pPr>
        <w:ind w:left="758" w:hanging="398"/>
      </w:pPr>
      <w:rPr>
        <w:rFonts w:hint="default"/>
      </w:rPr>
    </w:lvl>
    <w:lvl w:ilvl="1" w:tplc="D556DA0C" w:tentative="1">
      <w:start w:val="1"/>
      <w:numFmt w:val="lowerLetter"/>
      <w:lvlText w:val="%2."/>
      <w:lvlJc w:val="left"/>
      <w:pPr>
        <w:ind w:left="1440" w:hanging="360"/>
      </w:pPr>
    </w:lvl>
    <w:lvl w:ilvl="2" w:tplc="AAECAC8C" w:tentative="1">
      <w:start w:val="1"/>
      <w:numFmt w:val="lowerRoman"/>
      <w:lvlText w:val="%3."/>
      <w:lvlJc w:val="right"/>
      <w:pPr>
        <w:ind w:left="2160" w:hanging="180"/>
      </w:pPr>
    </w:lvl>
    <w:lvl w:ilvl="3" w:tplc="04D80D78" w:tentative="1">
      <w:start w:val="1"/>
      <w:numFmt w:val="decimal"/>
      <w:lvlText w:val="%4."/>
      <w:lvlJc w:val="left"/>
      <w:pPr>
        <w:ind w:left="2880" w:hanging="360"/>
      </w:pPr>
    </w:lvl>
    <w:lvl w:ilvl="4" w:tplc="1D0CA106" w:tentative="1">
      <w:start w:val="1"/>
      <w:numFmt w:val="lowerLetter"/>
      <w:lvlText w:val="%5."/>
      <w:lvlJc w:val="left"/>
      <w:pPr>
        <w:ind w:left="3600" w:hanging="360"/>
      </w:pPr>
    </w:lvl>
    <w:lvl w:ilvl="5" w:tplc="D6DC5ECC" w:tentative="1">
      <w:start w:val="1"/>
      <w:numFmt w:val="lowerRoman"/>
      <w:lvlText w:val="%6."/>
      <w:lvlJc w:val="right"/>
      <w:pPr>
        <w:ind w:left="4320" w:hanging="180"/>
      </w:pPr>
    </w:lvl>
    <w:lvl w:ilvl="6" w:tplc="4836B826" w:tentative="1">
      <w:start w:val="1"/>
      <w:numFmt w:val="decimal"/>
      <w:lvlText w:val="%7."/>
      <w:lvlJc w:val="left"/>
      <w:pPr>
        <w:ind w:left="5040" w:hanging="360"/>
      </w:pPr>
    </w:lvl>
    <w:lvl w:ilvl="7" w:tplc="3EAC959C" w:tentative="1">
      <w:start w:val="1"/>
      <w:numFmt w:val="lowerLetter"/>
      <w:lvlText w:val="%8."/>
      <w:lvlJc w:val="left"/>
      <w:pPr>
        <w:ind w:left="5760" w:hanging="360"/>
      </w:pPr>
    </w:lvl>
    <w:lvl w:ilvl="8" w:tplc="FF7CE70C" w:tentative="1">
      <w:start w:val="1"/>
      <w:numFmt w:val="lowerRoman"/>
      <w:lvlText w:val="%9."/>
      <w:lvlJc w:val="right"/>
      <w:pPr>
        <w:ind w:left="6480" w:hanging="180"/>
      </w:pPr>
    </w:lvl>
  </w:abstractNum>
  <w:abstractNum w:abstractNumId="1" w15:restartNumberingAfterBreak="0">
    <w:nsid w:val="20FD3485"/>
    <w:multiLevelType w:val="hybridMultilevel"/>
    <w:tmpl w:val="466CFD9A"/>
    <w:lvl w:ilvl="0" w:tplc="19AC1B50">
      <w:start w:val="1"/>
      <w:numFmt w:val="bullet"/>
      <w:lvlText w:val=""/>
      <w:lvlJc w:val="left"/>
      <w:pPr>
        <w:tabs>
          <w:tab w:val="num" w:pos="720"/>
        </w:tabs>
        <w:ind w:left="720" w:hanging="360"/>
      </w:pPr>
      <w:rPr>
        <w:rFonts w:ascii="Symbol" w:hAnsi="Symbol" w:hint="default"/>
      </w:rPr>
    </w:lvl>
    <w:lvl w:ilvl="1" w:tplc="4E6E275E" w:tentative="1">
      <w:start w:val="1"/>
      <w:numFmt w:val="bullet"/>
      <w:lvlText w:val="o"/>
      <w:lvlJc w:val="left"/>
      <w:pPr>
        <w:ind w:left="1440" w:hanging="360"/>
      </w:pPr>
      <w:rPr>
        <w:rFonts w:ascii="Courier New" w:hAnsi="Courier New" w:cs="Courier New" w:hint="default"/>
      </w:rPr>
    </w:lvl>
    <w:lvl w:ilvl="2" w:tplc="89D66D3C" w:tentative="1">
      <w:start w:val="1"/>
      <w:numFmt w:val="bullet"/>
      <w:lvlText w:val=""/>
      <w:lvlJc w:val="left"/>
      <w:pPr>
        <w:ind w:left="2160" w:hanging="360"/>
      </w:pPr>
      <w:rPr>
        <w:rFonts w:ascii="Wingdings" w:hAnsi="Wingdings" w:hint="default"/>
      </w:rPr>
    </w:lvl>
    <w:lvl w:ilvl="3" w:tplc="F7366538" w:tentative="1">
      <w:start w:val="1"/>
      <w:numFmt w:val="bullet"/>
      <w:lvlText w:val=""/>
      <w:lvlJc w:val="left"/>
      <w:pPr>
        <w:ind w:left="2880" w:hanging="360"/>
      </w:pPr>
      <w:rPr>
        <w:rFonts w:ascii="Symbol" w:hAnsi="Symbol" w:hint="default"/>
      </w:rPr>
    </w:lvl>
    <w:lvl w:ilvl="4" w:tplc="74FAF8C6" w:tentative="1">
      <w:start w:val="1"/>
      <w:numFmt w:val="bullet"/>
      <w:lvlText w:val="o"/>
      <w:lvlJc w:val="left"/>
      <w:pPr>
        <w:ind w:left="3600" w:hanging="360"/>
      </w:pPr>
      <w:rPr>
        <w:rFonts w:ascii="Courier New" w:hAnsi="Courier New" w:cs="Courier New" w:hint="default"/>
      </w:rPr>
    </w:lvl>
    <w:lvl w:ilvl="5" w:tplc="860C131E" w:tentative="1">
      <w:start w:val="1"/>
      <w:numFmt w:val="bullet"/>
      <w:lvlText w:val=""/>
      <w:lvlJc w:val="left"/>
      <w:pPr>
        <w:ind w:left="4320" w:hanging="360"/>
      </w:pPr>
      <w:rPr>
        <w:rFonts w:ascii="Wingdings" w:hAnsi="Wingdings" w:hint="default"/>
      </w:rPr>
    </w:lvl>
    <w:lvl w:ilvl="6" w:tplc="B74A0B80" w:tentative="1">
      <w:start w:val="1"/>
      <w:numFmt w:val="bullet"/>
      <w:lvlText w:val=""/>
      <w:lvlJc w:val="left"/>
      <w:pPr>
        <w:ind w:left="5040" w:hanging="360"/>
      </w:pPr>
      <w:rPr>
        <w:rFonts w:ascii="Symbol" w:hAnsi="Symbol" w:hint="default"/>
      </w:rPr>
    </w:lvl>
    <w:lvl w:ilvl="7" w:tplc="8F2047C0" w:tentative="1">
      <w:start w:val="1"/>
      <w:numFmt w:val="bullet"/>
      <w:lvlText w:val="o"/>
      <w:lvlJc w:val="left"/>
      <w:pPr>
        <w:ind w:left="5760" w:hanging="360"/>
      </w:pPr>
      <w:rPr>
        <w:rFonts w:ascii="Courier New" w:hAnsi="Courier New" w:cs="Courier New" w:hint="default"/>
      </w:rPr>
    </w:lvl>
    <w:lvl w:ilvl="8" w:tplc="E1B8DACE" w:tentative="1">
      <w:start w:val="1"/>
      <w:numFmt w:val="bullet"/>
      <w:lvlText w:val=""/>
      <w:lvlJc w:val="left"/>
      <w:pPr>
        <w:ind w:left="6480" w:hanging="360"/>
      </w:pPr>
      <w:rPr>
        <w:rFonts w:ascii="Wingdings" w:hAnsi="Wingdings" w:hint="default"/>
      </w:rPr>
    </w:lvl>
  </w:abstractNum>
  <w:abstractNum w:abstractNumId="2" w15:restartNumberingAfterBreak="0">
    <w:nsid w:val="29CF37DE"/>
    <w:multiLevelType w:val="hybridMultilevel"/>
    <w:tmpl w:val="F70ACBF0"/>
    <w:lvl w:ilvl="0" w:tplc="4D6A426E">
      <w:start w:val="1"/>
      <w:numFmt w:val="bullet"/>
      <w:lvlText w:val=""/>
      <w:lvlJc w:val="left"/>
      <w:pPr>
        <w:tabs>
          <w:tab w:val="num" w:pos="720"/>
        </w:tabs>
        <w:ind w:left="720" w:hanging="360"/>
      </w:pPr>
      <w:rPr>
        <w:rFonts w:ascii="Symbol" w:hAnsi="Symbol" w:hint="default"/>
      </w:rPr>
    </w:lvl>
    <w:lvl w:ilvl="1" w:tplc="032C046E" w:tentative="1">
      <w:start w:val="1"/>
      <w:numFmt w:val="bullet"/>
      <w:lvlText w:val="o"/>
      <w:lvlJc w:val="left"/>
      <w:pPr>
        <w:ind w:left="1440" w:hanging="360"/>
      </w:pPr>
      <w:rPr>
        <w:rFonts w:ascii="Courier New" w:hAnsi="Courier New" w:cs="Courier New" w:hint="default"/>
      </w:rPr>
    </w:lvl>
    <w:lvl w:ilvl="2" w:tplc="3440F296" w:tentative="1">
      <w:start w:val="1"/>
      <w:numFmt w:val="bullet"/>
      <w:lvlText w:val=""/>
      <w:lvlJc w:val="left"/>
      <w:pPr>
        <w:ind w:left="2160" w:hanging="360"/>
      </w:pPr>
      <w:rPr>
        <w:rFonts w:ascii="Wingdings" w:hAnsi="Wingdings" w:hint="default"/>
      </w:rPr>
    </w:lvl>
    <w:lvl w:ilvl="3" w:tplc="19C4F066" w:tentative="1">
      <w:start w:val="1"/>
      <w:numFmt w:val="bullet"/>
      <w:lvlText w:val=""/>
      <w:lvlJc w:val="left"/>
      <w:pPr>
        <w:ind w:left="2880" w:hanging="360"/>
      </w:pPr>
      <w:rPr>
        <w:rFonts w:ascii="Symbol" w:hAnsi="Symbol" w:hint="default"/>
      </w:rPr>
    </w:lvl>
    <w:lvl w:ilvl="4" w:tplc="1682CE9E" w:tentative="1">
      <w:start w:val="1"/>
      <w:numFmt w:val="bullet"/>
      <w:lvlText w:val="o"/>
      <w:lvlJc w:val="left"/>
      <w:pPr>
        <w:ind w:left="3600" w:hanging="360"/>
      </w:pPr>
      <w:rPr>
        <w:rFonts w:ascii="Courier New" w:hAnsi="Courier New" w:cs="Courier New" w:hint="default"/>
      </w:rPr>
    </w:lvl>
    <w:lvl w:ilvl="5" w:tplc="0D444F28" w:tentative="1">
      <w:start w:val="1"/>
      <w:numFmt w:val="bullet"/>
      <w:lvlText w:val=""/>
      <w:lvlJc w:val="left"/>
      <w:pPr>
        <w:ind w:left="4320" w:hanging="360"/>
      </w:pPr>
      <w:rPr>
        <w:rFonts w:ascii="Wingdings" w:hAnsi="Wingdings" w:hint="default"/>
      </w:rPr>
    </w:lvl>
    <w:lvl w:ilvl="6" w:tplc="11E4C024" w:tentative="1">
      <w:start w:val="1"/>
      <w:numFmt w:val="bullet"/>
      <w:lvlText w:val=""/>
      <w:lvlJc w:val="left"/>
      <w:pPr>
        <w:ind w:left="5040" w:hanging="360"/>
      </w:pPr>
      <w:rPr>
        <w:rFonts w:ascii="Symbol" w:hAnsi="Symbol" w:hint="default"/>
      </w:rPr>
    </w:lvl>
    <w:lvl w:ilvl="7" w:tplc="CA629F1A" w:tentative="1">
      <w:start w:val="1"/>
      <w:numFmt w:val="bullet"/>
      <w:lvlText w:val="o"/>
      <w:lvlJc w:val="left"/>
      <w:pPr>
        <w:ind w:left="5760" w:hanging="360"/>
      </w:pPr>
      <w:rPr>
        <w:rFonts w:ascii="Courier New" w:hAnsi="Courier New" w:cs="Courier New" w:hint="default"/>
      </w:rPr>
    </w:lvl>
    <w:lvl w:ilvl="8" w:tplc="4E1E62B6" w:tentative="1">
      <w:start w:val="1"/>
      <w:numFmt w:val="bullet"/>
      <w:lvlText w:val=""/>
      <w:lvlJc w:val="left"/>
      <w:pPr>
        <w:ind w:left="6480" w:hanging="360"/>
      </w:pPr>
      <w:rPr>
        <w:rFonts w:ascii="Wingdings" w:hAnsi="Wingdings" w:hint="default"/>
      </w:rPr>
    </w:lvl>
  </w:abstractNum>
  <w:abstractNum w:abstractNumId="3" w15:restartNumberingAfterBreak="0">
    <w:nsid w:val="39AB0C3E"/>
    <w:multiLevelType w:val="hybridMultilevel"/>
    <w:tmpl w:val="91DC46C6"/>
    <w:lvl w:ilvl="0" w:tplc="4B36EC60">
      <w:start w:val="1"/>
      <w:numFmt w:val="bullet"/>
      <w:lvlText w:val=""/>
      <w:lvlJc w:val="left"/>
      <w:pPr>
        <w:tabs>
          <w:tab w:val="num" w:pos="720"/>
        </w:tabs>
        <w:ind w:left="720" w:hanging="360"/>
      </w:pPr>
      <w:rPr>
        <w:rFonts w:ascii="Symbol" w:hAnsi="Symbol" w:hint="default"/>
      </w:rPr>
    </w:lvl>
    <w:lvl w:ilvl="1" w:tplc="E27E85B2">
      <w:start w:val="1"/>
      <w:numFmt w:val="bullet"/>
      <w:lvlText w:val="o"/>
      <w:lvlJc w:val="left"/>
      <w:pPr>
        <w:ind w:left="1440" w:hanging="360"/>
      </w:pPr>
      <w:rPr>
        <w:rFonts w:ascii="Courier New" w:hAnsi="Courier New" w:cs="Courier New" w:hint="default"/>
      </w:rPr>
    </w:lvl>
    <w:lvl w:ilvl="2" w:tplc="A0EE7014" w:tentative="1">
      <w:start w:val="1"/>
      <w:numFmt w:val="bullet"/>
      <w:lvlText w:val=""/>
      <w:lvlJc w:val="left"/>
      <w:pPr>
        <w:ind w:left="2160" w:hanging="360"/>
      </w:pPr>
      <w:rPr>
        <w:rFonts w:ascii="Wingdings" w:hAnsi="Wingdings" w:hint="default"/>
      </w:rPr>
    </w:lvl>
    <w:lvl w:ilvl="3" w:tplc="2090BAE2" w:tentative="1">
      <w:start w:val="1"/>
      <w:numFmt w:val="bullet"/>
      <w:lvlText w:val=""/>
      <w:lvlJc w:val="left"/>
      <w:pPr>
        <w:ind w:left="2880" w:hanging="360"/>
      </w:pPr>
      <w:rPr>
        <w:rFonts w:ascii="Symbol" w:hAnsi="Symbol" w:hint="default"/>
      </w:rPr>
    </w:lvl>
    <w:lvl w:ilvl="4" w:tplc="278EC1B6" w:tentative="1">
      <w:start w:val="1"/>
      <w:numFmt w:val="bullet"/>
      <w:lvlText w:val="o"/>
      <w:lvlJc w:val="left"/>
      <w:pPr>
        <w:ind w:left="3600" w:hanging="360"/>
      </w:pPr>
      <w:rPr>
        <w:rFonts w:ascii="Courier New" w:hAnsi="Courier New" w:cs="Courier New" w:hint="default"/>
      </w:rPr>
    </w:lvl>
    <w:lvl w:ilvl="5" w:tplc="F8C2BE98" w:tentative="1">
      <w:start w:val="1"/>
      <w:numFmt w:val="bullet"/>
      <w:lvlText w:val=""/>
      <w:lvlJc w:val="left"/>
      <w:pPr>
        <w:ind w:left="4320" w:hanging="360"/>
      </w:pPr>
      <w:rPr>
        <w:rFonts w:ascii="Wingdings" w:hAnsi="Wingdings" w:hint="default"/>
      </w:rPr>
    </w:lvl>
    <w:lvl w:ilvl="6" w:tplc="7A50DFF2" w:tentative="1">
      <w:start w:val="1"/>
      <w:numFmt w:val="bullet"/>
      <w:lvlText w:val=""/>
      <w:lvlJc w:val="left"/>
      <w:pPr>
        <w:ind w:left="5040" w:hanging="360"/>
      </w:pPr>
      <w:rPr>
        <w:rFonts w:ascii="Symbol" w:hAnsi="Symbol" w:hint="default"/>
      </w:rPr>
    </w:lvl>
    <w:lvl w:ilvl="7" w:tplc="C4D00D1E" w:tentative="1">
      <w:start w:val="1"/>
      <w:numFmt w:val="bullet"/>
      <w:lvlText w:val="o"/>
      <w:lvlJc w:val="left"/>
      <w:pPr>
        <w:ind w:left="5760" w:hanging="360"/>
      </w:pPr>
      <w:rPr>
        <w:rFonts w:ascii="Courier New" w:hAnsi="Courier New" w:cs="Courier New" w:hint="default"/>
      </w:rPr>
    </w:lvl>
    <w:lvl w:ilvl="8" w:tplc="A9C2FE22" w:tentative="1">
      <w:start w:val="1"/>
      <w:numFmt w:val="bullet"/>
      <w:lvlText w:val=""/>
      <w:lvlJc w:val="left"/>
      <w:pPr>
        <w:ind w:left="6480" w:hanging="360"/>
      </w:pPr>
      <w:rPr>
        <w:rFonts w:ascii="Wingdings" w:hAnsi="Wingdings" w:hint="default"/>
      </w:rPr>
    </w:lvl>
  </w:abstractNum>
  <w:abstractNum w:abstractNumId="4" w15:restartNumberingAfterBreak="0">
    <w:nsid w:val="5ED56D82"/>
    <w:multiLevelType w:val="hybridMultilevel"/>
    <w:tmpl w:val="3456347A"/>
    <w:lvl w:ilvl="0" w:tplc="F13AE5F0">
      <w:start w:val="1"/>
      <w:numFmt w:val="decimal"/>
      <w:lvlText w:val="(%1)"/>
      <w:lvlJc w:val="left"/>
      <w:pPr>
        <w:ind w:left="878" w:hanging="518"/>
      </w:pPr>
      <w:rPr>
        <w:rFonts w:hint="default"/>
      </w:rPr>
    </w:lvl>
    <w:lvl w:ilvl="1" w:tplc="BD3C528A">
      <w:start w:val="1"/>
      <w:numFmt w:val="upperLetter"/>
      <w:lvlText w:val="(%2)"/>
      <w:lvlJc w:val="left"/>
      <w:pPr>
        <w:ind w:left="1530" w:hanging="450"/>
      </w:pPr>
      <w:rPr>
        <w:rFonts w:hint="default"/>
      </w:rPr>
    </w:lvl>
    <w:lvl w:ilvl="2" w:tplc="D06A3330" w:tentative="1">
      <w:start w:val="1"/>
      <w:numFmt w:val="lowerRoman"/>
      <w:lvlText w:val="%3."/>
      <w:lvlJc w:val="right"/>
      <w:pPr>
        <w:ind w:left="2160" w:hanging="180"/>
      </w:pPr>
    </w:lvl>
    <w:lvl w:ilvl="3" w:tplc="32E29428" w:tentative="1">
      <w:start w:val="1"/>
      <w:numFmt w:val="decimal"/>
      <w:lvlText w:val="%4."/>
      <w:lvlJc w:val="left"/>
      <w:pPr>
        <w:ind w:left="2880" w:hanging="360"/>
      </w:pPr>
    </w:lvl>
    <w:lvl w:ilvl="4" w:tplc="48F8CDA0" w:tentative="1">
      <w:start w:val="1"/>
      <w:numFmt w:val="lowerLetter"/>
      <w:lvlText w:val="%5."/>
      <w:lvlJc w:val="left"/>
      <w:pPr>
        <w:ind w:left="3600" w:hanging="360"/>
      </w:pPr>
    </w:lvl>
    <w:lvl w:ilvl="5" w:tplc="30B630DA" w:tentative="1">
      <w:start w:val="1"/>
      <w:numFmt w:val="lowerRoman"/>
      <w:lvlText w:val="%6."/>
      <w:lvlJc w:val="right"/>
      <w:pPr>
        <w:ind w:left="4320" w:hanging="180"/>
      </w:pPr>
    </w:lvl>
    <w:lvl w:ilvl="6" w:tplc="8988CDF6" w:tentative="1">
      <w:start w:val="1"/>
      <w:numFmt w:val="decimal"/>
      <w:lvlText w:val="%7."/>
      <w:lvlJc w:val="left"/>
      <w:pPr>
        <w:ind w:left="5040" w:hanging="360"/>
      </w:pPr>
    </w:lvl>
    <w:lvl w:ilvl="7" w:tplc="D6FAF3AE" w:tentative="1">
      <w:start w:val="1"/>
      <w:numFmt w:val="lowerLetter"/>
      <w:lvlText w:val="%8."/>
      <w:lvlJc w:val="left"/>
      <w:pPr>
        <w:ind w:left="5760" w:hanging="360"/>
      </w:pPr>
    </w:lvl>
    <w:lvl w:ilvl="8" w:tplc="E43C8890" w:tentative="1">
      <w:start w:val="1"/>
      <w:numFmt w:val="lowerRoman"/>
      <w:lvlText w:val="%9."/>
      <w:lvlJc w:val="right"/>
      <w:pPr>
        <w:ind w:left="6480" w:hanging="180"/>
      </w:pPr>
    </w:lvl>
  </w:abstractNum>
  <w:abstractNum w:abstractNumId="5" w15:restartNumberingAfterBreak="0">
    <w:nsid w:val="7B1B04AF"/>
    <w:multiLevelType w:val="hybridMultilevel"/>
    <w:tmpl w:val="A6AA6F28"/>
    <w:lvl w:ilvl="0" w:tplc="CD141A70">
      <w:start w:val="1"/>
      <w:numFmt w:val="upperLetter"/>
      <w:lvlText w:val="(%1)"/>
      <w:lvlJc w:val="left"/>
      <w:pPr>
        <w:ind w:left="878" w:hanging="518"/>
      </w:pPr>
      <w:rPr>
        <w:rFonts w:hint="default"/>
      </w:rPr>
    </w:lvl>
    <w:lvl w:ilvl="1" w:tplc="BAA4C5CA" w:tentative="1">
      <w:start w:val="1"/>
      <w:numFmt w:val="lowerLetter"/>
      <w:lvlText w:val="%2."/>
      <w:lvlJc w:val="left"/>
      <w:pPr>
        <w:ind w:left="1440" w:hanging="360"/>
      </w:pPr>
    </w:lvl>
    <w:lvl w:ilvl="2" w:tplc="8A741534" w:tentative="1">
      <w:start w:val="1"/>
      <w:numFmt w:val="lowerRoman"/>
      <w:lvlText w:val="%3."/>
      <w:lvlJc w:val="right"/>
      <w:pPr>
        <w:ind w:left="2160" w:hanging="180"/>
      </w:pPr>
    </w:lvl>
    <w:lvl w:ilvl="3" w:tplc="D16824E0" w:tentative="1">
      <w:start w:val="1"/>
      <w:numFmt w:val="decimal"/>
      <w:lvlText w:val="%4."/>
      <w:lvlJc w:val="left"/>
      <w:pPr>
        <w:ind w:left="2880" w:hanging="360"/>
      </w:pPr>
    </w:lvl>
    <w:lvl w:ilvl="4" w:tplc="1E0E8642" w:tentative="1">
      <w:start w:val="1"/>
      <w:numFmt w:val="lowerLetter"/>
      <w:lvlText w:val="%5."/>
      <w:lvlJc w:val="left"/>
      <w:pPr>
        <w:ind w:left="3600" w:hanging="360"/>
      </w:pPr>
    </w:lvl>
    <w:lvl w:ilvl="5" w:tplc="302EC3C6" w:tentative="1">
      <w:start w:val="1"/>
      <w:numFmt w:val="lowerRoman"/>
      <w:lvlText w:val="%6."/>
      <w:lvlJc w:val="right"/>
      <w:pPr>
        <w:ind w:left="4320" w:hanging="180"/>
      </w:pPr>
    </w:lvl>
    <w:lvl w:ilvl="6" w:tplc="3AFAD872" w:tentative="1">
      <w:start w:val="1"/>
      <w:numFmt w:val="decimal"/>
      <w:lvlText w:val="%7."/>
      <w:lvlJc w:val="left"/>
      <w:pPr>
        <w:ind w:left="5040" w:hanging="360"/>
      </w:pPr>
    </w:lvl>
    <w:lvl w:ilvl="7" w:tplc="3B14DBB6" w:tentative="1">
      <w:start w:val="1"/>
      <w:numFmt w:val="lowerLetter"/>
      <w:lvlText w:val="%8."/>
      <w:lvlJc w:val="left"/>
      <w:pPr>
        <w:ind w:left="5760" w:hanging="360"/>
      </w:pPr>
    </w:lvl>
    <w:lvl w:ilvl="8" w:tplc="7D3284AE" w:tentative="1">
      <w:start w:val="1"/>
      <w:numFmt w:val="lowerRoman"/>
      <w:lvlText w:val="%9."/>
      <w:lvlJc w:val="right"/>
      <w:pPr>
        <w:ind w:left="6480" w:hanging="180"/>
      </w:pPr>
    </w:lvl>
  </w:abstractNum>
  <w:num w:numId="1" w16cid:durableId="1936667240">
    <w:abstractNumId w:val="2"/>
  </w:num>
  <w:num w:numId="2" w16cid:durableId="35545720">
    <w:abstractNumId w:val="0"/>
  </w:num>
  <w:num w:numId="3" w16cid:durableId="379860909">
    <w:abstractNumId w:val="3"/>
  </w:num>
  <w:num w:numId="4" w16cid:durableId="148786922">
    <w:abstractNumId w:val="4"/>
  </w:num>
  <w:num w:numId="5" w16cid:durableId="84739009">
    <w:abstractNumId w:val="1"/>
  </w:num>
  <w:num w:numId="6" w16cid:durableId="254171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9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00BA"/>
    <w:rsid w:val="0015331F"/>
    <w:rsid w:val="00156AB2"/>
    <w:rsid w:val="00160402"/>
    <w:rsid w:val="00160571"/>
    <w:rsid w:val="00161E93"/>
    <w:rsid w:val="00162C7A"/>
    <w:rsid w:val="00162DAE"/>
    <w:rsid w:val="001639C5"/>
    <w:rsid w:val="00163E45"/>
    <w:rsid w:val="001664C2"/>
    <w:rsid w:val="00171BF2"/>
    <w:rsid w:val="0017347B"/>
    <w:rsid w:val="0017725B"/>
    <w:rsid w:val="00180171"/>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0EE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80A"/>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2F9B"/>
    <w:rsid w:val="0068302A"/>
    <w:rsid w:val="00684B98"/>
    <w:rsid w:val="00685DC9"/>
    <w:rsid w:val="00687465"/>
    <w:rsid w:val="006907CF"/>
    <w:rsid w:val="00691CCF"/>
    <w:rsid w:val="00693AFA"/>
    <w:rsid w:val="00695101"/>
    <w:rsid w:val="00695B9A"/>
    <w:rsid w:val="00696563"/>
    <w:rsid w:val="006979F8"/>
    <w:rsid w:val="006A2B60"/>
    <w:rsid w:val="006A3487"/>
    <w:rsid w:val="006A6068"/>
    <w:rsid w:val="006A6DEF"/>
    <w:rsid w:val="006B129D"/>
    <w:rsid w:val="006B12AE"/>
    <w:rsid w:val="006B16B3"/>
    <w:rsid w:val="006B1918"/>
    <w:rsid w:val="006B233E"/>
    <w:rsid w:val="006B23D8"/>
    <w:rsid w:val="006B28D5"/>
    <w:rsid w:val="006B2A01"/>
    <w:rsid w:val="006B2B8C"/>
    <w:rsid w:val="006B2DEB"/>
    <w:rsid w:val="006B54C5"/>
    <w:rsid w:val="006B5E80"/>
    <w:rsid w:val="006B624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3E38"/>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0F6C"/>
    <w:rsid w:val="00A720DC"/>
    <w:rsid w:val="00A803CF"/>
    <w:rsid w:val="00A8133F"/>
    <w:rsid w:val="00A82CB4"/>
    <w:rsid w:val="00A837A8"/>
    <w:rsid w:val="00A839C2"/>
    <w:rsid w:val="00A83C36"/>
    <w:rsid w:val="00A932BB"/>
    <w:rsid w:val="00A93579"/>
    <w:rsid w:val="00A93934"/>
    <w:rsid w:val="00A95D51"/>
    <w:rsid w:val="00AA18AE"/>
    <w:rsid w:val="00AA228B"/>
    <w:rsid w:val="00AA5576"/>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2720"/>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25D"/>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6F2F"/>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3D54"/>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0F4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404F"/>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1C93"/>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5D7F"/>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2936"/>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6DEA"/>
    <w:rsid w:val="00EA7A88"/>
    <w:rsid w:val="00EB27F2"/>
    <w:rsid w:val="00EB3928"/>
    <w:rsid w:val="00EB5373"/>
    <w:rsid w:val="00EB6794"/>
    <w:rsid w:val="00EB7626"/>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0AE1"/>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D08074-C212-41CF-B85B-FC0EA903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A2B60"/>
    <w:rPr>
      <w:sz w:val="16"/>
      <w:szCs w:val="16"/>
    </w:rPr>
  </w:style>
  <w:style w:type="paragraph" w:styleId="CommentText">
    <w:name w:val="annotation text"/>
    <w:basedOn w:val="Normal"/>
    <w:link w:val="CommentTextChar"/>
    <w:semiHidden/>
    <w:unhideWhenUsed/>
    <w:rsid w:val="006A2B60"/>
    <w:rPr>
      <w:sz w:val="20"/>
      <w:szCs w:val="20"/>
    </w:rPr>
  </w:style>
  <w:style w:type="character" w:customStyle="1" w:styleId="CommentTextChar">
    <w:name w:val="Comment Text Char"/>
    <w:basedOn w:val="DefaultParagraphFont"/>
    <w:link w:val="CommentText"/>
    <w:semiHidden/>
    <w:rsid w:val="006A2B60"/>
  </w:style>
  <w:style w:type="paragraph" w:styleId="CommentSubject">
    <w:name w:val="annotation subject"/>
    <w:basedOn w:val="CommentText"/>
    <w:next w:val="CommentText"/>
    <w:link w:val="CommentSubjectChar"/>
    <w:semiHidden/>
    <w:unhideWhenUsed/>
    <w:rsid w:val="006A2B60"/>
    <w:rPr>
      <w:b/>
      <w:bCs/>
    </w:rPr>
  </w:style>
  <w:style w:type="character" w:customStyle="1" w:styleId="CommentSubjectChar">
    <w:name w:val="Comment Subject Char"/>
    <w:basedOn w:val="CommentTextChar"/>
    <w:link w:val="CommentSubject"/>
    <w:semiHidden/>
    <w:rsid w:val="006A2B60"/>
    <w:rPr>
      <w:b/>
      <w:bCs/>
    </w:rPr>
  </w:style>
  <w:style w:type="character" w:styleId="Hyperlink">
    <w:name w:val="Hyperlink"/>
    <w:basedOn w:val="DefaultParagraphFont"/>
    <w:unhideWhenUsed/>
    <w:rsid w:val="00AA5576"/>
    <w:rPr>
      <w:color w:val="0000FF" w:themeColor="hyperlink"/>
      <w:u w:val="single"/>
    </w:rPr>
  </w:style>
  <w:style w:type="character" w:customStyle="1" w:styleId="UnresolvedMention1">
    <w:name w:val="Unresolved Mention1"/>
    <w:basedOn w:val="DefaultParagraphFont"/>
    <w:uiPriority w:val="99"/>
    <w:semiHidden/>
    <w:unhideWhenUsed/>
    <w:rsid w:val="00AA5576"/>
    <w:rPr>
      <w:color w:val="605E5C"/>
      <w:shd w:val="clear" w:color="auto" w:fill="E1DFDD"/>
    </w:rPr>
  </w:style>
  <w:style w:type="character" w:styleId="FollowedHyperlink">
    <w:name w:val="FollowedHyperlink"/>
    <w:basedOn w:val="DefaultParagraphFont"/>
    <w:semiHidden/>
    <w:unhideWhenUsed/>
    <w:rsid w:val="00C23D54"/>
    <w:rPr>
      <w:color w:val="800080" w:themeColor="followedHyperlink"/>
      <w:u w:val="single"/>
    </w:rPr>
  </w:style>
  <w:style w:type="paragraph" w:styleId="Revision">
    <w:name w:val="Revision"/>
    <w:hidden/>
    <w:uiPriority w:val="99"/>
    <w:semiHidden/>
    <w:rsid w:val="00B432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3182</Characters>
  <Application>Microsoft Office Word</Application>
  <DocSecurity>4</DocSecurity>
  <Lines>84</Lines>
  <Paragraphs>31</Paragraphs>
  <ScaleCrop>false</ScaleCrop>
  <HeadingPairs>
    <vt:vector size="2" baseType="variant">
      <vt:variant>
        <vt:lpstr>Title</vt:lpstr>
      </vt:variant>
      <vt:variant>
        <vt:i4>1</vt:i4>
      </vt:variant>
    </vt:vector>
  </HeadingPairs>
  <TitlesOfParts>
    <vt:vector size="1" baseType="lpstr">
      <vt:lpstr>BA - SB00785 (Committee Report (Substituted))</vt:lpstr>
    </vt:vector>
  </TitlesOfParts>
  <Company>State of Texas</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30615</dc:subject>
  <dc:creator>State of Texas</dc:creator>
  <dc:description>SB 785 by Birdwell-(H)Energy Resources (Substitute Document Number: 88R 26187)</dc:description>
  <cp:lastModifiedBy>Damian Duarte</cp:lastModifiedBy>
  <cp:revision>2</cp:revision>
  <cp:lastPrinted>2003-11-26T17:21:00Z</cp:lastPrinted>
  <dcterms:created xsi:type="dcterms:W3CDTF">2023-05-17T15:18:00Z</dcterms:created>
  <dcterms:modified xsi:type="dcterms:W3CDTF">2023-05-17T15:18:00Z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23.136.63</vt:lpwstr>
  </property>
</Properties>
</file>