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0CD" w:rsidRDefault="005F10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67BA6784DA45FA969806A096C011C7"/>
          </w:placeholder>
        </w:sdtPr>
        <w:sdtContent>
          <w:r w:rsidRPr="005C2A78">
            <w:rPr>
              <w:rFonts w:cs="Times New Roman"/>
              <w:b/>
              <w:szCs w:val="24"/>
              <w:u w:val="single"/>
            </w:rPr>
            <w:t>BILL ANALYSIS</w:t>
          </w:r>
        </w:sdtContent>
      </w:sdt>
    </w:p>
    <w:p w:rsidR="005F10CD" w:rsidRPr="00585C31" w:rsidRDefault="005F10CD" w:rsidP="000F1DF9">
      <w:pPr>
        <w:spacing w:after="0" w:line="240" w:lineRule="auto"/>
        <w:rPr>
          <w:rFonts w:cs="Times New Roman"/>
          <w:szCs w:val="24"/>
        </w:rPr>
      </w:pPr>
    </w:p>
    <w:p w:rsidR="005F10CD" w:rsidRPr="00585C31" w:rsidRDefault="005F10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10CD" w:rsidTr="000F1DF9">
        <w:tc>
          <w:tcPr>
            <w:tcW w:w="2718" w:type="dxa"/>
          </w:tcPr>
          <w:p w:rsidR="005F10CD" w:rsidRPr="005C2A78" w:rsidRDefault="005F10CD" w:rsidP="006D756B">
            <w:pPr>
              <w:rPr>
                <w:rFonts w:cs="Times New Roman"/>
                <w:szCs w:val="24"/>
              </w:rPr>
            </w:pPr>
            <w:sdt>
              <w:sdtPr>
                <w:rPr>
                  <w:rFonts w:cs="Times New Roman"/>
                  <w:szCs w:val="24"/>
                </w:rPr>
                <w:alias w:val="Agency Title"/>
                <w:tag w:val="AgencyTitleContentControl"/>
                <w:id w:val="1920747753"/>
                <w:lock w:val="sdtContentLocked"/>
                <w:placeholder>
                  <w:docPart w:val="E5E2C99E76364398B7BE269FEC0C8848"/>
                </w:placeholder>
              </w:sdtPr>
              <w:sdtEndPr>
                <w:rPr>
                  <w:rFonts w:cstheme="minorBidi"/>
                  <w:szCs w:val="22"/>
                </w:rPr>
              </w:sdtEndPr>
              <w:sdtContent>
                <w:r>
                  <w:rPr>
                    <w:rFonts w:cs="Times New Roman"/>
                    <w:szCs w:val="24"/>
                  </w:rPr>
                  <w:t>Senate Research Center</w:t>
                </w:r>
              </w:sdtContent>
            </w:sdt>
          </w:p>
        </w:tc>
        <w:tc>
          <w:tcPr>
            <w:tcW w:w="6858" w:type="dxa"/>
          </w:tcPr>
          <w:p w:rsidR="005F10CD" w:rsidRPr="00FF6471" w:rsidRDefault="005F10CD" w:rsidP="000F1DF9">
            <w:pPr>
              <w:jc w:val="right"/>
              <w:rPr>
                <w:rFonts w:cs="Times New Roman"/>
                <w:szCs w:val="24"/>
              </w:rPr>
            </w:pPr>
            <w:sdt>
              <w:sdtPr>
                <w:rPr>
                  <w:rFonts w:cs="Times New Roman"/>
                  <w:szCs w:val="24"/>
                </w:rPr>
                <w:alias w:val="Bill Number"/>
                <w:tag w:val="BillNumberOne"/>
                <w:id w:val="-410784069"/>
                <w:lock w:val="sdtContentLocked"/>
                <w:placeholder>
                  <w:docPart w:val="69E75B0C43454F5CBC798152B011E80C"/>
                </w:placeholder>
              </w:sdtPr>
              <w:sdtContent>
                <w:r>
                  <w:rPr>
                    <w:rFonts w:cs="Times New Roman"/>
                    <w:szCs w:val="24"/>
                  </w:rPr>
                  <w:t>S.B. 786</w:t>
                </w:r>
              </w:sdtContent>
            </w:sdt>
          </w:p>
        </w:tc>
      </w:tr>
      <w:tr w:rsidR="005F10CD" w:rsidTr="000F1DF9">
        <w:sdt>
          <w:sdtPr>
            <w:rPr>
              <w:rFonts w:cs="Times New Roman"/>
              <w:szCs w:val="24"/>
            </w:rPr>
            <w:alias w:val="TLCNumber"/>
            <w:tag w:val="TLCNumber"/>
            <w:id w:val="-542600604"/>
            <w:lock w:val="sdtLocked"/>
            <w:placeholder>
              <w:docPart w:val="C4A4744AE17C472FAD04EB77BB63F8A4"/>
            </w:placeholder>
          </w:sdtPr>
          <w:sdtContent>
            <w:tc>
              <w:tcPr>
                <w:tcW w:w="2718" w:type="dxa"/>
              </w:tcPr>
              <w:p w:rsidR="005F10CD" w:rsidRPr="000F1DF9" w:rsidRDefault="005F10CD" w:rsidP="00C65088">
                <w:pPr>
                  <w:rPr>
                    <w:rFonts w:cs="Times New Roman"/>
                    <w:szCs w:val="24"/>
                  </w:rPr>
                </w:pPr>
                <w:r>
                  <w:rPr>
                    <w:rFonts w:cs="Times New Roman"/>
                    <w:szCs w:val="24"/>
                  </w:rPr>
                  <w:t>88R4569 ANG-F</w:t>
                </w:r>
              </w:p>
            </w:tc>
          </w:sdtContent>
        </w:sdt>
        <w:tc>
          <w:tcPr>
            <w:tcW w:w="6858" w:type="dxa"/>
          </w:tcPr>
          <w:p w:rsidR="005F10CD" w:rsidRPr="005C2A78" w:rsidRDefault="005F10CD" w:rsidP="00073EDD">
            <w:pPr>
              <w:jc w:val="right"/>
              <w:rPr>
                <w:rFonts w:cs="Times New Roman"/>
                <w:szCs w:val="24"/>
              </w:rPr>
            </w:pPr>
            <w:sdt>
              <w:sdtPr>
                <w:rPr>
                  <w:rFonts w:cs="Times New Roman"/>
                  <w:szCs w:val="24"/>
                </w:rPr>
                <w:alias w:val="Author Label"/>
                <w:tag w:val="By"/>
                <w:id w:val="72399597"/>
                <w:lock w:val="sdtLocked"/>
                <w:placeholder>
                  <w:docPart w:val="6EC9F4160DFF4D1891A96A822367D1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676D4D37064025BDDF1E66A9DDB34C"/>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FD471000D5D84B2A9A025505FD788BE4"/>
                </w:placeholder>
                <w:showingPlcHdr/>
              </w:sdtPr>
              <w:sdtContent/>
            </w:sdt>
            <w:sdt>
              <w:sdtPr>
                <w:rPr>
                  <w:rFonts w:cs="Times New Roman"/>
                  <w:szCs w:val="24"/>
                </w:rPr>
                <w:alias w:val="DualSponsor"/>
                <w:tag w:val="DualSponsor"/>
                <w:id w:val="1029379812"/>
                <w:lock w:val="sdtContentLocked"/>
                <w:placeholder>
                  <w:docPart w:val="E0920839F1824BBC96DD8F8B26DCC2E5"/>
                </w:placeholder>
                <w:showingPlcHdr/>
              </w:sdtPr>
              <w:sdtContent/>
            </w:sdt>
          </w:p>
        </w:tc>
      </w:tr>
      <w:tr w:rsidR="005F10CD" w:rsidTr="000F1DF9">
        <w:tc>
          <w:tcPr>
            <w:tcW w:w="2718" w:type="dxa"/>
          </w:tcPr>
          <w:p w:rsidR="005F10CD" w:rsidRPr="00BC7495" w:rsidRDefault="005F10CD" w:rsidP="000F1DF9">
            <w:pPr>
              <w:rPr>
                <w:rFonts w:cs="Times New Roman"/>
                <w:szCs w:val="24"/>
              </w:rPr>
            </w:pPr>
          </w:p>
        </w:tc>
        <w:sdt>
          <w:sdtPr>
            <w:rPr>
              <w:rFonts w:cs="Times New Roman"/>
              <w:szCs w:val="24"/>
            </w:rPr>
            <w:alias w:val="Committee"/>
            <w:tag w:val="Committee"/>
            <w:id w:val="1914272295"/>
            <w:lock w:val="sdtContentLocked"/>
            <w:placeholder>
              <w:docPart w:val="113428E4D5754E9BA0B8E21E7EE732CD"/>
            </w:placeholder>
          </w:sdtPr>
          <w:sdtContent>
            <w:tc>
              <w:tcPr>
                <w:tcW w:w="6858" w:type="dxa"/>
              </w:tcPr>
              <w:p w:rsidR="005F10CD" w:rsidRPr="00FF6471" w:rsidRDefault="005F10CD" w:rsidP="000F1DF9">
                <w:pPr>
                  <w:jc w:val="right"/>
                  <w:rPr>
                    <w:rFonts w:cs="Times New Roman"/>
                    <w:szCs w:val="24"/>
                  </w:rPr>
                </w:pPr>
                <w:r>
                  <w:rPr>
                    <w:rFonts w:cs="Times New Roman"/>
                    <w:szCs w:val="24"/>
                  </w:rPr>
                  <w:t>Natural Resources &amp; Economic Development</w:t>
                </w:r>
              </w:p>
            </w:tc>
          </w:sdtContent>
        </w:sdt>
      </w:tr>
      <w:tr w:rsidR="005F10CD" w:rsidTr="000F1DF9">
        <w:tc>
          <w:tcPr>
            <w:tcW w:w="2718" w:type="dxa"/>
          </w:tcPr>
          <w:p w:rsidR="005F10CD" w:rsidRPr="00BC7495" w:rsidRDefault="005F10CD" w:rsidP="000F1DF9">
            <w:pPr>
              <w:rPr>
                <w:rFonts w:cs="Times New Roman"/>
                <w:szCs w:val="24"/>
              </w:rPr>
            </w:pPr>
          </w:p>
        </w:tc>
        <w:sdt>
          <w:sdtPr>
            <w:rPr>
              <w:rFonts w:cs="Times New Roman"/>
              <w:szCs w:val="24"/>
            </w:rPr>
            <w:alias w:val="Date"/>
            <w:tag w:val="DateContentControl"/>
            <w:id w:val="1178081906"/>
            <w:lock w:val="sdtLocked"/>
            <w:placeholder>
              <w:docPart w:val="AFB55158130748009F267FD54CBFC642"/>
            </w:placeholder>
            <w:date w:fullDate="2023-03-24T00:00:00Z">
              <w:dateFormat w:val="M/d/yyyy"/>
              <w:lid w:val="en-US"/>
              <w:storeMappedDataAs w:val="dateTime"/>
              <w:calendar w:val="gregorian"/>
            </w:date>
          </w:sdtPr>
          <w:sdtContent>
            <w:tc>
              <w:tcPr>
                <w:tcW w:w="6858" w:type="dxa"/>
              </w:tcPr>
              <w:p w:rsidR="005F10CD" w:rsidRPr="00FF6471" w:rsidRDefault="005F10CD" w:rsidP="000F1DF9">
                <w:pPr>
                  <w:jc w:val="right"/>
                  <w:rPr>
                    <w:rFonts w:cs="Times New Roman"/>
                    <w:szCs w:val="24"/>
                  </w:rPr>
                </w:pPr>
                <w:r>
                  <w:rPr>
                    <w:rFonts w:cs="Times New Roman"/>
                    <w:szCs w:val="24"/>
                  </w:rPr>
                  <w:t>3/24/2023</w:t>
                </w:r>
              </w:p>
            </w:tc>
          </w:sdtContent>
        </w:sdt>
      </w:tr>
      <w:tr w:rsidR="005F10CD" w:rsidTr="000F1DF9">
        <w:tc>
          <w:tcPr>
            <w:tcW w:w="2718" w:type="dxa"/>
          </w:tcPr>
          <w:p w:rsidR="005F10CD" w:rsidRPr="00BC7495" w:rsidRDefault="005F10CD" w:rsidP="000F1DF9">
            <w:pPr>
              <w:rPr>
                <w:rFonts w:cs="Times New Roman"/>
                <w:szCs w:val="24"/>
              </w:rPr>
            </w:pPr>
          </w:p>
        </w:tc>
        <w:sdt>
          <w:sdtPr>
            <w:rPr>
              <w:rFonts w:cs="Times New Roman"/>
              <w:szCs w:val="24"/>
            </w:rPr>
            <w:alias w:val="BA Version"/>
            <w:tag w:val="BAVersion"/>
            <w:id w:val="-1685590809"/>
            <w:lock w:val="sdtContentLocked"/>
            <w:placeholder>
              <w:docPart w:val="ED28DF4B7A574C2C9A4062F21804912F"/>
            </w:placeholder>
          </w:sdtPr>
          <w:sdtContent>
            <w:tc>
              <w:tcPr>
                <w:tcW w:w="6858" w:type="dxa"/>
              </w:tcPr>
              <w:p w:rsidR="005F10CD" w:rsidRPr="00FF6471" w:rsidRDefault="005F10CD" w:rsidP="000F1DF9">
                <w:pPr>
                  <w:jc w:val="right"/>
                  <w:rPr>
                    <w:rFonts w:cs="Times New Roman"/>
                    <w:szCs w:val="24"/>
                  </w:rPr>
                </w:pPr>
                <w:r>
                  <w:rPr>
                    <w:rFonts w:cs="Times New Roman"/>
                    <w:szCs w:val="24"/>
                  </w:rPr>
                  <w:t>As Filed</w:t>
                </w:r>
              </w:p>
            </w:tc>
          </w:sdtContent>
        </w:sdt>
      </w:tr>
    </w:tbl>
    <w:p w:rsidR="005F10CD" w:rsidRPr="00FF6471" w:rsidRDefault="005F10CD" w:rsidP="000F1DF9">
      <w:pPr>
        <w:spacing w:after="0" w:line="240" w:lineRule="auto"/>
        <w:rPr>
          <w:rFonts w:cs="Times New Roman"/>
          <w:szCs w:val="24"/>
        </w:rPr>
      </w:pPr>
    </w:p>
    <w:p w:rsidR="005F10CD" w:rsidRPr="00FF6471" w:rsidRDefault="005F10CD" w:rsidP="000F1DF9">
      <w:pPr>
        <w:spacing w:after="0" w:line="240" w:lineRule="auto"/>
        <w:rPr>
          <w:rFonts w:cs="Times New Roman"/>
          <w:szCs w:val="24"/>
        </w:rPr>
      </w:pPr>
    </w:p>
    <w:p w:rsidR="005F10CD" w:rsidRPr="00FF6471" w:rsidRDefault="005F10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A9D6FF66254BB295691FD38E436F0F"/>
        </w:placeholder>
      </w:sdtPr>
      <w:sdtContent>
        <w:p w:rsidR="005F10CD" w:rsidRDefault="005F10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F21002CFC646B080C95A5C2BAB27AD"/>
        </w:placeholder>
      </w:sdtPr>
      <w:sdtContent>
        <w:p w:rsidR="005F10CD" w:rsidRDefault="005F10CD" w:rsidP="007E3A82">
          <w:pPr>
            <w:pStyle w:val="NormalWeb"/>
            <w:spacing w:before="0" w:beforeAutospacing="0" w:after="0" w:afterAutospacing="0"/>
            <w:jc w:val="both"/>
            <w:divId w:val="1025402120"/>
            <w:rPr>
              <w:rFonts w:eastAsia="Times New Roman"/>
              <w:bCs/>
            </w:rPr>
          </w:pPr>
        </w:p>
        <w:p w:rsidR="005F10CD" w:rsidRPr="00F556DE" w:rsidRDefault="005F10CD" w:rsidP="007E3A82">
          <w:pPr>
            <w:pStyle w:val="NormalWeb"/>
            <w:spacing w:before="0" w:beforeAutospacing="0" w:after="0" w:afterAutospacing="0"/>
            <w:jc w:val="both"/>
            <w:divId w:val="1025402120"/>
          </w:pPr>
          <w:r w:rsidRPr="00F556DE">
            <w:t xml:space="preserve">There is a current conflict in Texas law regarding the wells associated with </w:t>
          </w:r>
          <w:r>
            <w:t>g</w:t>
          </w:r>
          <w:r w:rsidRPr="00F556DE">
            <w:t xml:space="preserve">eothermal </w:t>
          </w:r>
          <w:r>
            <w:t>e</w:t>
          </w:r>
          <w:r w:rsidRPr="00F556DE">
            <w:t>nergy. The Texas Railroad Commission (RRC) and</w:t>
          </w:r>
          <w:r>
            <w:t xml:space="preserve"> the</w:t>
          </w:r>
          <w:r w:rsidRPr="00F556DE">
            <w:t xml:space="preserve"> Texas Commission on Environmental Quality (TCEQ) are both required to regulate these wells.</w:t>
          </w:r>
        </w:p>
        <w:p w:rsidR="005F10CD" w:rsidRPr="00F556DE" w:rsidRDefault="005F10CD" w:rsidP="007E3A82">
          <w:pPr>
            <w:pStyle w:val="NormalWeb"/>
            <w:spacing w:before="0" w:beforeAutospacing="0" w:after="0" w:afterAutospacing="0"/>
            <w:jc w:val="both"/>
            <w:divId w:val="1025402120"/>
          </w:pPr>
          <w:r w:rsidRPr="00F556DE">
            <w:t> </w:t>
          </w:r>
        </w:p>
        <w:p w:rsidR="005F10CD" w:rsidRPr="00F556DE" w:rsidRDefault="005F10CD" w:rsidP="007E3A82">
          <w:pPr>
            <w:pStyle w:val="NormalWeb"/>
            <w:spacing w:before="0" w:beforeAutospacing="0" w:after="0" w:afterAutospacing="0"/>
            <w:jc w:val="both"/>
            <w:divId w:val="1025402120"/>
          </w:pPr>
          <w:r w:rsidRPr="00F556DE">
            <w:t xml:space="preserve">The wells associated with geothermal energy include geothermal closed loop injection wells which are a Class V injection well under the jurisdiction of TCEQ per </w:t>
          </w:r>
          <w:r>
            <w:t>Section</w:t>
          </w:r>
          <w:r w:rsidRPr="00F556DE">
            <w:t xml:space="preserve"> 27.011</w:t>
          </w:r>
          <w:r>
            <w:t>, Water Code</w:t>
          </w:r>
          <w:r w:rsidRPr="00F556DE">
            <w:t xml:space="preserve">. However, RRC is also given the responsibility to regulate the exploration, development, and production of geothermal energy and associated resources under </w:t>
          </w:r>
          <w:r>
            <w:t xml:space="preserve">Section </w:t>
          </w:r>
          <w:r w:rsidRPr="00F556DE">
            <w:t>141.011</w:t>
          </w:r>
          <w:r>
            <w:t>, Natural Resources Code</w:t>
          </w:r>
          <w:r w:rsidRPr="00F556DE">
            <w:t>. If a geothermal generator is using a closed loop injection well for power generation, the well is also regulated by RRC in current statute.</w:t>
          </w:r>
        </w:p>
        <w:p w:rsidR="005F10CD" w:rsidRPr="00F556DE" w:rsidRDefault="005F10CD" w:rsidP="007E3A82">
          <w:pPr>
            <w:pStyle w:val="NormalWeb"/>
            <w:spacing w:before="0" w:beforeAutospacing="0" w:after="0" w:afterAutospacing="0"/>
            <w:jc w:val="both"/>
            <w:divId w:val="1025402120"/>
          </w:pPr>
          <w:r w:rsidRPr="00F556DE">
            <w:t> </w:t>
          </w:r>
        </w:p>
        <w:p w:rsidR="005F10CD" w:rsidRPr="00F556DE" w:rsidRDefault="005F10CD" w:rsidP="007E3A82">
          <w:pPr>
            <w:pStyle w:val="NormalWeb"/>
            <w:spacing w:before="0" w:beforeAutospacing="0" w:after="0" w:afterAutospacing="0"/>
            <w:jc w:val="both"/>
            <w:divId w:val="1025402120"/>
          </w:pPr>
          <w:r w:rsidRPr="00F556DE">
            <w:t>This bill would remove closed-loop geothermal injection wells from the regulative authority of TCEQ and place them solely under the regulatory authority of RRC. This clarification would provide certainty to potential operators seeking to produce geothermal energy.</w:t>
          </w:r>
        </w:p>
        <w:p w:rsidR="005F10CD" w:rsidRPr="00D70925" w:rsidRDefault="005F10CD" w:rsidP="007E3A82">
          <w:pPr>
            <w:spacing w:after="0" w:line="240" w:lineRule="auto"/>
            <w:jc w:val="both"/>
            <w:rPr>
              <w:rFonts w:eastAsia="Times New Roman" w:cs="Times New Roman"/>
              <w:bCs/>
              <w:szCs w:val="24"/>
            </w:rPr>
          </w:pPr>
        </w:p>
      </w:sdtContent>
    </w:sdt>
    <w:p w:rsidR="005F10CD" w:rsidRDefault="005F10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786 </w:t>
      </w:r>
      <w:bookmarkStart w:id="1" w:name="AmendsCurrentLaw"/>
      <w:bookmarkEnd w:id="1"/>
      <w:r>
        <w:rPr>
          <w:rFonts w:cs="Times New Roman"/>
          <w:szCs w:val="24"/>
        </w:rPr>
        <w:t>amends current law relating to the regulation by the Railroad Commission of Texas of closed-loop geothermal injection wells.</w:t>
      </w:r>
    </w:p>
    <w:p w:rsidR="005F10CD" w:rsidRPr="00DB48EE" w:rsidRDefault="005F10CD" w:rsidP="000F1DF9">
      <w:pPr>
        <w:spacing w:after="0" w:line="240" w:lineRule="auto"/>
        <w:jc w:val="both"/>
        <w:rPr>
          <w:rFonts w:eastAsia="Times New Roman" w:cs="Times New Roman"/>
          <w:szCs w:val="24"/>
        </w:rPr>
      </w:pPr>
    </w:p>
    <w:p w:rsidR="005F10CD" w:rsidRPr="005C2A78" w:rsidRDefault="005F10CD" w:rsidP="001D19C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516AA33DE9485CBDD75DC073A0087A"/>
          </w:placeholder>
        </w:sdtPr>
        <w:sdtContent>
          <w:r>
            <w:rPr>
              <w:rFonts w:eastAsia="Times New Roman" w:cs="Times New Roman"/>
              <w:b/>
              <w:szCs w:val="24"/>
              <w:u w:val="single"/>
            </w:rPr>
            <w:t>RULEMAKING AUTHORITY</w:t>
          </w:r>
        </w:sdtContent>
      </w:sdt>
    </w:p>
    <w:p w:rsidR="005F10CD" w:rsidRPr="006529C4" w:rsidRDefault="005F10CD" w:rsidP="001D19C3">
      <w:pPr>
        <w:spacing w:after="0" w:line="240" w:lineRule="auto"/>
        <w:jc w:val="both"/>
        <w:rPr>
          <w:rFonts w:cs="Times New Roman"/>
          <w:szCs w:val="24"/>
        </w:rPr>
      </w:pPr>
    </w:p>
    <w:p w:rsidR="005F10CD" w:rsidRDefault="005F10CD" w:rsidP="001D19C3">
      <w:pPr>
        <w:spacing w:after="0" w:line="240" w:lineRule="auto"/>
        <w:jc w:val="both"/>
        <w:rPr>
          <w:rFonts w:cs="Times New Roman"/>
          <w:szCs w:val="24"/>
        </w:rPr>
      </w:pPr>
      <w:r>
        <w:rPr>
          <w:rFonts w:cs="Times New Roman"/>
          <w:szCs w:val="24"/>
        </w:rPr>
        <w:t>Rulemaking authority is expressly granted to the Railroad Commission of Texas in SECTION 1 (Section 27.037, Water Code) of this bill.</w:t>
      </w:r>
    </w:p>
    <w:p w:rsidR="005F10CD" w:rsidRDefault="005F10CD" w:rsidP="001D19C3">
      <w:pPr>
        <w:spacing w:after="0" w:line="240" w:lineRule="auto"/>
        <w:jc w:val="both"/>
        <w:rPr>
          <w:rFonts w:cs="Times New Roman"/>
          <w:szCs w:val="24"/>
        </w:rPr>
      </w:pPr>
    </w:p>
    <w:p w:rsidR="005F10CD" w:rsidRPr="006529C4" w:rsidRDefault="005F10CD" w:rsidP="001D19C3">
      <w:pPr>
        <w:spacing w:after="0" w:line="240" w:lineRule="auto"/>
        <w:jc w:val="both"/>
        <w:rPr>
          <w:rFonts w:cs="Times New Roman"/>
          <w:szCs w:val="24"/>
        </w:rPr>
      </w:pPr>
      <w:r>
        <w:rPr>
          <w:rFonts w:cs="Times New Roman"/>
          <w:szCs w:val="24"/>
        </w:rPr>
        <w:t>Rulemaking authority previously granted to the Texas Commission on Environmental Quality is transferred to the Railroad Commission of Texas in SECTION 2 of this bill.</w:t>
      </w:r>
    </w:p>
    <w:p w:rsidR="005F10CD" w:rsidRPr="006529C4" w:rsidRDefault="005F10CD" w:rsidP="001D19C3">
      <w:pPr>
        <w:spacing w:after="0" w:line="240" w:lineRule="auto"/>
        <w:jc w:val="both"/>
        <w:rPr>
          <w:rFonts w:cs="Times New Roman"/>
          <w:szCs w:val="24"/>
        </w:rPr>
      </w:pPr>
    </w:p>
    <w:p w:rsidR="005F10CD" w:rsidRPr="005C2A78" w:rsidRDefault="005F10CD" w:rsidP="001D19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950E22E45240299DAC8F8BBB9DF98F"/>
          </w:placeholder>
        </w:sdtPr>
        <w:sdtContent>
          <w:r>
            <w:rPr>
              <w:rFonts w:eastAsia="Times New Roman" w:cs="Times New Roman"/>
              <w:b/>
              <w:szCs w:val="24"/>
              <w:u w:val="single"/>
            </w:rPr>
            <w:t>SECTION BY SECTION ANALYSIS</w:t>
          </w:r>
        </w:sdtContent>
      </w:sdt>
    </w:p>
    <w:p w:rsidR="005F10CD" w:rsidRPr="005C2A78" w:rsidRDefault="005F10CD" w:rsidP="001D19C3">
      <w:pPr>
        <w:spacing w:after="0" w:line="240" w:lineRule="auto"/>
        <w:jc w:val="both"/>
        <w:rPr>
          <w:rFonts w:eastAsia="Times New Roman" w:cs="Times New Roman"/>
          <w:szCs w:val="24"/>
        </w:rPr>
      </w:pPr>
    </w:p>
    <w:p w:rsidR="005F10CD" w:rsidRPr="00DB48EE" w:rsidRDefault="005F10CD" w:rsidP="001D19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B48EE">
        <w:rPr>
          <w:rFonts w:eastAsia="Times New Roman" w:cs="Times New Roman"/>
          <w:szCs w:val="24"/>
        </w:rPr>
        <w:t>Subchapter C, Chapter 27, Water Code, by adding Section 27.037</w:t>
      </w:r>
      <w:r>
        <w:rPr>
          <w:rFonts w:eastAsia="Times New Roman" w:cs="Times New Roman"/>
          <w:szCs w:val="24"/>
        </w:rPr>
        <w:t xml:space="preserve">, </w:t>
      </w:r>
      <w:r w:rsidRPr="00DB48EE">
        <w:rPr>
          <w:rFonts w:eastAsia="Times New Roman" w:cs="Times New Roman"/>
          <w:szCs w:val="24"/>
        </w:rPr>
        <w:t>as follows:</w:t>
      </w:r>
    </w:p>
    <w:p w:rsidR="005F10CD" w:rsidRDefault="005F10CD" w:rsidP="001D19C3">
      <w:pPr>
        <w:spacing w:after="0" w:line="240" w:lineRule="auto"/>
        <w:jc w:val="both"/>
        <w:rPr>
          <w:rFonts w:eastAsia="Times New Roman" w:cs="Times New Roman"/>
          <w:szCs w:val="24"/>
        </w:rPr>
      </w:pPr>
    </w:p>
    <w:p w:rsidR="005F10CD" w:rsidRPr="00DB48EE" w:rsidRDefault="005F10CD" w:rsidP="001D19C3">
      <w:pPr>
        <w:spacing w:after="0" w:line="240" w:lineRule="auto"/>
        <w:ind w:left="720"/>
        <w:jc w:val="both"/>
        <w:rPr>
          <w:rFonts w:eastAsia="Times New Roman" w:cs="Times New Roman"/>
          <w:szCs w:val="24"/>
        </w:rPr>
      </w:pPr>
      <w:r w:rsidRPr="00DB48EE">
        <w:rPr>
          <w:rFonts w:eastAsia="Times New Roman" w:cs="Times New Roman"/>
          <w:szCs w:val="24"/>
        </w:rPr>
        <w:t>Sec. 27.037. JURISDICTION OVER CLOSED-LOOP GEOTHERMAL INJECTION WELLS. (a</w:t>
      </w:r>
      <w:r>
        <w:rPr>
          <w:rFonts w:eastAsia="Times New Roman" w:cs="Times New Roman"/>
          <w:szCs w:val="24"/>
        </w:rPr>
        <w:t>) Defines</w:t>
      </w:r>
      <w:r w:rsidRPr="00DB48EE">
        <w:rPr>
          <w:rFonts w:eastAsia="Times New Roman" w:cs="Times New Roman"/>
          <w:szCs w:val="24"/>
        </w:rPr>
        <w:t xml:space="preserve"> "closed-loop geothermal injection well</w:t>
      </w:r>
      <w:r>
        <w:rPr>
          <w:rFonts w:eastAsia="Times New Roman" w:cs="Times New Roman"/>
          <w:szCs w:val="24"/>
        </w:rPr>
        <w:t>.</w:t>
      </w:r>
      <w:r w:rsidRPr="00DB48EE">
        <w:rPr>
          <w:rFonts w:eastAsia="Times New Roman" w:cs="Times New Roman"/>
          <w:szCs w:val="24"/>
        </w:rPr>
        <w:t xml:space="preserve">" </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(b) </w:t>
      </w:r>
      <w:r>
        <w:rPr>
          <w:rFonts w:eastAsia="Times New Roman" w:cs="Times New Roman"/>
          <w:szCs w:val="24"/>
        </w:rPr>
        <w:t>Provides that the R</w:t>
      </w:r>
      <w:r w:rsidRPr="00DB48EE">
        <w:rPr>
          <w:rFonts w:eastAsia="Times New Roman" w:cs="Times New Roman"/>
          <w:szCs w:val="24"/>
        </w:rPr>
        <w:t xml:space="preserve">ailroad </w:t>
      </w:r>
      <w:r>
        <w:rPr>
          <w:rFonts w:eastAsia="Times New Roman" w:cs="Times New Roman"/>
          <w:szCs w:val="24"/>
        </w:rPr>
        <w:t>C</w:t>
      </w:r>
      <w:r w:rsidRPr="00DB48EE">
        <w:rPr>
          <w:rFonts w:eastAsia="Times New Roman" w:cs="Times New Roman"/>
          <w:szCs w:val="24"/>
        </w:rPr>
        <w:t xml:space="preserve">ommission </w:t>
      </w:r>
      <w:r>
        <w:rPr>
          <w:rFonts w:eastAsia="Times New Roman" w:cs="Times New Roman"/>
          <w:szCs w:val="24"/>
        </w:rPr>
        <w:t xml:space="preserve">of Texas (RRC) </w:t>
      </w:r>
      <w:r w:rsidRPr="00DB48EE">
        <w:rPr>
          <w:rFonts w:eastAsia="Times New Roman" w:cs="Times New Roman"/>
          <w:szCs w:val="24"/>
        </w:rPr>
        <w:t xml:space="preserve">has jurisdiction over closed-loop geothermal injection wells and </w:t>
      </w:r>
      <w:r>
        <w:rPr>
          <w:rFonts w:eastAsia="Times New Roman" w:cs="Times New Roman"/>
          <w:szCs w:val="24"/>
        </w:rPr>
        <w:t>is authorized to</w:t>
      </w:r>
      <w:r w:rsidRPr="00DB48EE">
        <w:rPr>
          <w:rFonts w:eastAsia="Times New Roman" w:cs="Times New Roman"/>
          <w:szCs w:val="24"/>
        </w:rPr>
        <w:t xml:space="preserve"> issue permits for closed-loop geothermal injection wells, including individual permits, general permits, or permits by rule.</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(c)</w:t>
      </w:r>
      <w:r>
        <w:rPr>
          <w:rFonts w:eastAsia="Times New Roman" w:cs="Times New Roman"/>
          <w:szCs w:val="24"/>
        </w:rPr>
        <w:t xml:space="preserve"> Prohibits a </w:t>
      </w:r>
      <w:r w:rsidRPr="00DB48EE">
        <w:rPr>
          <w:rFonts w:eastAsia="Times New Roman" w:cs="Times New Roman"/>
          <w:szCs w:val="24"/>
        </w:rPr>
        <w:t>person</w:t>
      </w:r>
      <w:r>
        <w:rPr>
          <w:rFonts w:eastAsia="Times New Roman" w:cs="Times New Roman"/>
          <w:szCs w:val="24"/>
        </w:rPr>
        <w:t xml:space="preserve"> from beginning to </w:t>
      </w:r>
      <w:r w:rsidRPr="00DB48EE">
        <w:rPr>
          <w:rFonts w:eastAsia="Times New Roman" w:cs="Times New Roman"/>
          <w:szCs w:val="24"/>
        </w:rPr>
        <w:t xml:space="preserve">drill a closed-loop geothermal injection well unless that person holds a valid permit issued by </w:t>
      </w:r>
      <w:r>
        <w:rPr>
          <w:rFonts w:eastAsia="Times New Roman" w:cs="Times New Roman"/>
          <w:szCs w:val="24"/>
        </w:rPr>
        <w:t>RRC</w:t>
      </w:r>
      <w:r w:rsidRPr="00DB48EE">
        <w:rPr>
          <w:rFonts w:eastAsia="Times New Roman" w:cs="Times New Roman"/>
          <w:szCs w:val="24"/>
        </w:rPr>
        <w:t xml:space="preserve"> under this section.</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(d)</w:t>
      </w:r>
      <w:r>
        <w:rPr>
          <w:rFonts w:eastAsia="Times New Roman" w:cs="Times New Roman"/>
          <w:szCs w:val="24"/>
        </w:rPr>
        <w:t xml:space="preserve"> Provides that </w:t>
      </w:r>
      <w:r w:rsidRPr="00DB48EE">
        <w:rPr>
          <w:rFonts w:eastAsia="Times New Roman" w:cs="Times New Roman"/>
          <w:szCs w:val="24"/>
        </w:rPr>
        <w:t>a closed-loop geothermal injection well</w:t>
      </w:r>
      <w:r>
        <w:rPr>
          <w:rFonts w:eastAsia="Times New Roman" w:cs="Times New Roman"/>
          <w:szCs w:val="24"/>
        </w:rPr>
        <w:t>, f</w:t>
      </w:r>
      <w:r w:rsidRPr="00DB48EE">
        <w:rPr>
          <w:rFonts w:eastAsia="Times New Roman" w:cs="Times New Roman"/>
          <w:szCs w:val="24"/>
        </w:rPr>
        <w:t xml:space="preserve">or purposes of </w:t>
      </w:r>
      <w:r>
        <w:rPr>
          <w:rFonts w:eastAsia="Times New Roman" w:cs="Times New Roman"/>
          <w:szCs w:val="24"/>
        </w:rPr>
        <w:t>RRC</w:t>
      </w:r>
      <w:r w:rsidRPr="00DB48EE">
        <w:rPr>
          <w:rFonts w:eastAsia="Times New Roman" w:cs="Times New Roman"/>
          <w:szCs w:val="24"/>
        </w:rPr>
        <w:t xml:space="preserve"> regulation, is designated as a Class V well under the underground injection control program administered by </w:t>
      </w:r>
      <w:r>
        <w:rPr>
          <w:rFonts w:eastAsia="Times New Roman" w:cs="Times New Roman"/>
          <w:szCs w:val="24"/>
        </w:rPr>
        <w:t>RRC</w:t>
      </w:r>
      <w:r w:rsidRPr="00DB48EE">
        <w:rPr>
          <w:rFonts w:eastAsia="Times New Roman" w:cs="Times New Roman"/>
          <w:szCs w:val="24"/>
        </w:rPr>
        <w: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(e)</w:t>
      </w:r>
      <w:r>
        <w:rPr>
          <w:rFonts w:eastAsia="Times New Roman" w:cs="Times New Roman"/>
          <w:szCs w:val="24"/>
        </w:rPr>
        <w:t xml:space="preserve"> Requires RRC to </w:t>
      </w:r>
      <w:r w:rsidRPr="00DB48EE">
        <w:rPr>
          <w:rFonts w:eastAsia="Times New Roman" w:cs="Times New Roman"/>
          <w:szCs w:val="24"/>
        </w:rPr>
        <w:t>adopt rules as necessary to administer this section and regulate closed-loop geothermal injection wells.</w:t>
      </w:r>
    </w:p>
    <w:p w:rsidR="005F10CD" w:rsidRDefault="005F10CD" w:rsidP="001D19C3">
      <w:pPr>
        <w:spacing w:after="0" w:line="240" w:lineRule="auto"/>
        <w:jc w:val="both"/>
        <w:rPr>
          <w:rFonts w:eastAsia="Times New Roman" w:cs="Times New Roman"/>
          <w:szCs w:val="24"/>
        </w:rPr>
      </w:pPr>
    </w:p>
    <w:p w:rsidR="005F10CD" w:rsidRPr="00DB48EE" w:rsidRDefault="005F10CD" w:rsidP="001D19C3">
      <w:pPr>
        <w:spacing w:after="0" w:line="240" w:lineRule="auto"/>
        <w:jc w:val="both"/>
        <w:rPr>
          <w:rFonts w:eastAsia="Times New Roman" w:cs="Times New Roman"/>
          <w:szCs w:val="24"/>
        </w:rPr>
      </w:pPr>
      <w:r w:rsidRPr="00DB48EE">
        <w:rPr>
          <w:rFonts w:eastAsia="Times New Roman" w:cs="Times New Roman"/>
          <w:szCs w:val="24"/>
        </w:rPr>
        <w:t>SECTION 2. (a</w:t>
      </w:r>
      <w:r>
        <w:rPr>
          <w:rFonts w:eastAsia="Times New Roman" w:cs="Times New Roman"/>
          <w:szCs w:val="24"/>
        </w:rPr>
        <w:t>) Defines "c</w:t>
      </w:r>
      <w:r w:rsidRPr="00DB48EE">
        <w:rPr>
          <w:rFonts w:eastAsia="Times New Roman" w:cs="Times New Roman"/>
          <w:szCs w:val="24"/>
        </w:rPr>
        <w:t>losed-loop geothermal injection well</w:t>
      </w:r>
      <w:r>
        <w:rPr>
          <w:rFonts w:eastAsia="Times New Roman" w:cs="Times New Roman"/>
          <w:szCs w:val="24"/>
        </w:rPr>
        <w:t>,</w:t>
      </w:r>
      <w:r w:rsidRPr="00DB48EE">
        <w:rPr>
          <w:rFonts w:eastAsia="Times New Roman" w:cs="Times New Roman"/>
          <w:szCs w:val="24"/>
        </w:rPr>
        <w:t xml:space="preserve">" </w:t>
      </w:r>
      <w:r>
        <w:rPr>
          <w:rFonts w:eastAsia="Times New Roman" w:cs="Times New Roman"/>
          <w:szCs w:val="24"/>
        </w:rPr>
        <w:t>"c</w:t>
      </w:r>
      <w:r w:rsidRPr="00DB48EE">
        <w:rPr>
          <w:rFonts w:eastAsia="Times New Roman" w:cs="Times New Roman"/>
          <w:szCs w:val="24"/>
        </w:rPr>
        <w:t>ommission</w:t>
      </w:r>
      <w:r>
        <w:rPr>
          <w:rFonts w:eastAsia="Times New Roman" w:cs="Times New Roman"/>
          <w:szCs w:val="24"/>
        </w:rPr>
        <w:t>,</w:t>
      </w:r>
      <w:r w:rsidRPr="00DB48EE">
        <w:rPr>
          <w:rFonts w:eastAsia="Times New Roman" w:cs="Times New Roman"/>
          <w:szCs w:val="24"/>
        </w:rPr>
        <w:t xml:space="preserve">" </w:t>
      </w:r>
      <w:r>
        <w:rPr>
          <w:rFonts w:eastAsia="Times New Roman" w:cs="Times New Roman"/>
          <w:szCs w:val="24"/>
        </w:rPr>
        <w:t>and "r</w:t>
      </w:r>
      <w:r w:rsidRPr="00DB48EE">
        <w:rPr>
          <w:rFonts w:eastAsia="Times New Roman" w:cs="Times New Roman"/>
          <w:szCs w:val="24"/>
        </w:rPr>
        <w:t>ailroad commission</w:t>
      </w:r>
      <w:r>
        <w:rPr>
          <w:rFonts w:eastAsia="Times New Roman" w:cs="Times New Roman"/>
          <w:szCs w:val="24"/>
        </w:rPr>
        <w:t>.</w:t>
      </w:r>
      <w:r w:rsidRPr="00DB48EE">
        <w:rPr>
          <w:rFonts w:eastAsia="Times New Roman" w:cs="Times New Roman"/>
          <w:szCs w:val="24"/>
        </w:rPr>
        <w:t xml:space="preserve">" </w:t>
      </w:r>
    </w:p>
    <w:p w:rsidR="005F10CD" w:rsidRDefault="005F10CD" w:rsidP="001D19C3">
      <w:pPr>
        <w:spacing w:after="0" w:line="240" w:lineRule="auto"/>
        <w:ind w:left="720"/>
        <w:jc w:val="both"/>
        <w:rPr>
          <w:rFonts w:eastAsia="Times New Roman" w:cs="Times New Roman"/>
          <w:szCs w:val="24"/>
        </w:rPr>
      </w:pPr>
    </w:p>
    <w:p w:rsidR="005F10CD" w:rsidRPr="00DB48EE" w:rsidRDefault="005F10CD" w:rsidP="001D19C3">
      <w:pPr>
        <w:spacing w:after="0" w:line="240" w:lineRule="auto"/>
        <w:ind w:left="720"/>
        <w:jc w:val="both"/>
        <w:rPr>
          <w:rFonts w:eastAsia="Times New Roman" w:cs="Times New Roman"/>
          <w:szCs w:val="24"/>
        </w:rPr>
      </w:pPr>
      <w:r w:rsidRPr="00DB48EE">
        <w:rPr>
          <w:rFonts w:eastAsia="Times New Roman" w:cs="Times New Roman"/>
          <w:szCs w:val="24"/>
        </w:rPr>
        <w:t xml:space="preserve">(b) </w:t>
      </w:r>
      <w:r>
        <w:rPr>
          <w:rFonts w:eastAsia="Times New Roman" w:cs="Times New Roman"/>
          <w:szCs w:val="24"/>
        </w:rPr>
        <w:t>Provides that, o</w:t>
      </w:r>
      <w:r w:rsidRPr="00DB48EE">
        <w:rPr>
          <w:rFonts w:eastAsia="Times New Roman" w:cs="Times New Roman"/>
          <w:szCs w:val="24"/>
        </w:rPr>
        <w:t>n the effective date of this Act: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(1) all functions and activities performed by </w:t>
      </w:r>
      <w:r>
        <w:rPr>
          <w:rFonts w:eastAsia="Times New Roman" w:cs="Times New Roman"/>
          <w:szCs w:val="24"/>
        </w:rPr>
        <w:t xml:space="preserve">the Texas Commission on Environmental Quality (TCEQ) </w:t>
      </w:r>
      <w:r w:rsidRPr="00DB48EE">
        <w:rPr>
          <w:rFonts w:eastAsia="Times New Roman" w:cs="Times New Roman"/>
          <w:szCs w:val="24"/>
        </w:rPr>
        <w:t>that relate to the regulation of closed-loop geothermal injection wells under Chapter 27</w:t>
      </w:r>
      <w:r>
        <w:rPr>
          <w:rFonts w:eastAsia="Times New Roman" w:cs="Times New Roman"/>
          <w:szCs w:val="24"/>
        </w:rPr>
        <w:t xml:space="preserve"> (Injection Wells)</w:t>
      </w:r>
      <w:r w:rsidRPr="00DB48EE">
        <w:rPr>
          <w:rFonts w:eastAsia="Times New Roman" w:cs="Times New Roman"/>
          <w:szCs w:val="24"/>
        </w:rPr>
        <w:t xml:space="preserve">, Water Code, are transferred to </w:t>
      </w:r>
      <w:r>
        <w:rPr>
          <w:rFonts w:eastAsia="Times New Roman" w:cs="Times New Roman"/>
          <w:szCs w:val="24"/>
        </w:rPr>
        <w:t>RRC</w:t>
      </w:r>
      <w:r w:rsidRPr="00DB48EE">
        <w:rPr>
          <w:rFonts w:eastAsia="Times New Roman" w:cs="Times New Roman"/>
          <w:szCs w:val="24"/>
        </w:rPr>
        <w: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(2) a rule, standard, or form adopted by </w:t>
      </w:r>
      <w:r>
        <w:rPr>
          <w:rFonts w:eastAsia="Times New Roman" w:cs="Times New Roman"/>
          <w:szCs w:val="24"/>
        </w:rPr>
        <w:t>TCEQ</w:t>
      </w:r>
      <w:r w:rsidRPr="00DB48EE">
        <w:rPr>
          <w:rFonts w:eastAsia="Times New Roman" w:cs="Times New Roman"/>
          <w:szCs w:val="24"/>
        </w:rPr>
        <w:t xml:space="preserve"> that is related to the regulation of closed-loop geothermal injection wells under Chapter 27, Water Code, is a rule, standard, or form of </w:t>
      </w:r>
      <w:r>
        <w:rPr>
          <w:rFonts w:eastAsia="Times New Roman" w:cs="Times New Roman"/>
          <w:szCs w:val="24"/>
        </w:rPr>
        <w:t>RRC</w:t>
      </w:r>
      <w:r w:rsidRPr="00DB48EE">
        <w:rPr>
          <w:rFonts w:eastAsia="Times New Roman" w:cs="Times New Roman"/>
          <w:szCs w:val="24"/>
        </w:rPr>
        <w:t xml:space="preserve"> and remains in effect until altered by </w:t>
      </w:r>
      <w:r>
        <w:rPr>
          <w:rFonts w:eastAsia="Times New Roman" w:cs="Times New Roman"/>
          <w:szCs w:val="24"/>
        </w:rPr>
        <w:t>RRC</w:t>
      </w:r>
      <w:r w:rsidRPr="00DB48EE">
        <w:rPr>
          <w:rFonts w:eastAsia="Times New Roman" w:cs="Times New Roman"/>
          <w:szCs w:val="24"/>
        </w:rPr>
        <w: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(3) a proceeding involving </w:t>
      </w:r>
      <w:r>
        <w:rPr>
          <w:rFonts w:eastAsia="Times New Roman" w:cs="Times New Roman"/>
          <w:szCs w:val="24"/>
        </w:rPr>
        <w:t>TCEQ</w:t>
      </w:r>
      <w:r w:rsidRPr="00DB48EE">
        <w:rPr>
          <w:rFonts w:eastAsia="Times New Roman" w:cs="Times New Roman"/>
          <w:szCs w:val="24"/>
        </w:rPr>
        <w:t xml:space="preserve"> that is related to the regulation of closed-loop geothermal injection wells under Chapter 27, Water Code, is transferred without change in status to </w:t>
      </w:r>
      <w:r>
        <w:rPr>
          <w:rFonts w:eastAsia="Times New Roman" w:cs="Times New Roman"/>
          <w:szCs w:val="24"/>
        </w:rPr>
        <w:t>RRC</w:t>
      </w:r>
      <w:r w:rsidRPr="00DB48EE">
        <w:rPr>
          <w:rFonts w:eastAsia="Times New Roman" w:cs="Times New Roman"/>
          <w:szCs w:val="24"/>
        </w:rPr>
        <w:t xml:space="preserve">, and </w:t>
      </w:r>
      <w:r>
        <w:rPr>
          <w:rFonts w:eastAsia="Times New Roman" w:cs="Times New Roman"/>
          <w:szCs w:val="24"/>
        </w:rPr>
        <w:t>RRC</w:t>
      </w:r>
      <w:r w:rsidRPr="00DB48EE">
        <w:rPr>
          <w:rFonts w:eastAsia="Times New Roman" w:cs="Times New Roman"/>
          <w:szCs w:val="24"/>
        </w:rPr>
        <w:t xml:space="preserve"> assumes, without change in status, the position of </w:t>
      </w:r>
      <w:r>
        <w:rPr>
          <w:rFonts w:eastAsia="Times New Roman" w:cs="Times New Roman"/>
          <w:szCs w:val="24"/>
        </w:rPr>
        <w:t>TCEQ</w:t>
      </w:r>
      <w:r w:rsidRPr="00DB48EE">
        <w:rPr>
          <w:rFonts w:eastAsia="Times New Roman" w:cs="Times New Roman"/>
          <w:szCs w:val="24"/>
        </w:rPr>
        <w:t xml:space="preserve"> in any proceeding relating to the regulation of closed-loop geothermal injection wells to which </w:t>
      </w:r>
      <w:r>
        <w:rPr>
          <w:rFonts w:eastAsia="Times New Roman" w:cs="Times New Roman"/>
          <w:szCs w:val="24"/>
        </w:rPr>
        <w:t>TCEQ</w:t>
      </w:r>
      <w:r w:rsidRPr="00DB48EE">
        <w:rPr>
          <w:rFonts w:eastAsia="Times New Roman" w:cs="Times New Roman"/>
          <w:szCs w:val="24"/>
        </w:rPr>
        <w:t xml:space="preserve"> is a party;</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(4) all money, contracts, leases, rights, and obligations of </w:t>
      </w:r>
      <w:r>
        <w:rPr>
          <w:rFonts w:eastAsia="Times New Roman" w:cs="Times New Roman"/>
          <w:szCs w:val="24"/>
        </w:rPr>
        <w:t>TCEQ</w:t>
      </w:r>
      <w:r w:rsidRPr="00DB48EE">
        <w:rPr>
          <w:rFonts w:eastAsia="Times New Roman" w:cs="Times New Roman"/>
          <w:szCs w:val="24"/>
        </w:rPr>
        <w:t xml:space="preserve"> related to closed-loop geothermal injection wells under Chapter 27, Water Code, are transferred to </w:t>
      </w:r>
      <w:r>
        <w:rPr>
          <w:rFonts w:eastAsia="Times New Roman" w:cs="Times New Roman"/>
          <w:szCs w:val="24"/>
        </w:rPr>
        <w:t>RRC</w:t>
      </w:r>
      <w:r w:rsidRPr="00DB48EE">
        <w:rPr>
          <w:rFonts w:eastAsia="Times New Roman" w:cs="Times New Roman"/>
          <w:szCs w:val="24"/>
        </w:rPr>
        <w: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(5) all property, including records, in the custody of </w:t>
      </w:r>
      <w:r>
        <w:rPr>
          <w:rFonts w:eastAsia="Times New Roman" w:cs="Times New Roman"/>
          <w:szCs w:val="24"/>
        </w:rPr>
        <w:t>TCEQ</w:t>
      </w:r>
      <w:r w:rsidRPr="00DB48EE">
        <w:rPr>
          <w:rFonts w:eastAsia="Times New Roman" w:cs="Times New Roman"/>
          <w:szCs w:val="24"/>
        </w:rPr>
        <w:t xml:space="preserve"> related to the regulation of closed-loop geothermal injection wells under Chapter 27, Water Code, is transferred to </w:t>
      </w:r>
      <w:r>
        <w:rPr>
          <w:rFonts w:eastAsia="Times New Roman" w:cs="Times New Roman"/>
          <w:szCs w:val="24"/>
        </w:rPr>
        <w:t>RRC</w:t>
      </w:r>
      <w:r w:rsidRPr="00DB48EE">
        <w:rPr>
          <w:rFonts w:eastAsia="Times New Roman" w:cs="Times New Roman"/>
          <w:szCs w:val="24"/>
        </w:rPr>
        <w:t>; and</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(6) all money appropriated to </w:t>
      </w:r>
      <w:r>
        <w:rPr>
          <w:rFonts w:eastAsia="Times New Roman" w:cs="Times New Roman"/>
          <w:szCs w:val="24"/>
        </w:rPr>
        <w:t>TCEQ</w:t>
      </w:r>
      <w:r w:rsidRPr="00DB48EE">
        <w:rPr>
          <w:rFonts w:eastAsia="Times New Roman" w:cs="Times New Roman"/>
          <w:szCs w:val="24"/>
        </w:rPr>
        <w:t xml:space="preserve"> for purposes related to the regulation of closed-loop geothermal injection wells under Chapter 27, Water Code, is transferred to </w:t>
      </w:r>
      <w:r>
        <w:rPr>
          <w:rFonts w:eastAsia="Times New Roman" w:cs="Times New Roman"/>
          <w:szCs w:val="24"/>
        </w:rPr>
        <w:t>RRC</w:t>
      </w:r>
      <w:r w:rsidRPr="00DB48EE">
        <w:rPr>
          <w:rFonts w:eastAsia="Times New Roman" w:cs="Times New Roman"/>
          <w:szCs w:val="24"/>
        </w:rPr>
        <w:t>.</w:t>
      </w:r>
    </w:p>
    <w:p w:rsidR="005F10CD" w:rsidRDefault="005F10CD" w:rsidP="001D19C3">
      <w:pPr>
        <w:spacing w:after="0" w:line="240" w:lineRule="auto"/>
        <w:ind w:left="720"/>
        <w:jc w:val="both"/>
        <w:rPr>
          <w:rFonts w:eastAsia="Times New Roman" w:cs="Times New Roman"/>
          <w:szCs w:val="24"/>
        </w:rPr>
      </w:pPr>
    </w:p>
    <w:p w:rsidR="005F10CD" w:rsidRPr="00DB48EE" w:rsidRDefault="005F10CD" w:rsidP="001D19C3">
      <w:pPr>
        <w:spacing w:after="0" w:line="240" w:lineRule="auto"/>
        <w:ind w:left="720"/>
        <w:jc w:val="both"/>
        <w:rPr>
          <w:rFonts w:eastAsia="Times New Roman" w:cs="Times New Roman"/>
          <w:szCs w:val="24"/>
        </w:rPr>
      </w:pPr>
      <w:r w:rsidRPr="00DB48EE">
        <w:rPr>
          <w:rFonts w:eastAsia="Times New Roman" w:cs="Times New Roman"/>
          <w:szCs w:val="24"/>
        </w:rPr>
        <w:t xml:space="preserve">(c) </w:t>
      </w:r>
      <w:r>
        <w:rPr>
          <w:rFonts w:eastAsia="Times New Roman" w:cs="Times New Roman"/>
          <w:szCs w:val="24"/>
        </w:rPr>
        <w:t xml:space="preserve">Provides that </w:t>
      </w:r>
      <w:r w:rsidRPr="00DB48EE">
        <w:rPr>
          <w:rFonts w:eastAsia="Times New Roman" w:cs="Times New Roman"/>
          <w:szCs w:val="24"/>
        </w:rPr>
        <w:t>Section 27.037, Water Code, as added by this Act, does not affect the validity of a permit for a closed-loop geothermal injection well issued before the effective date of this Act.</w:t>
      </w:r>
    </w:p>
    <w:p w:rsidR="005F10CD" w:rsidRDefault="005F10CD" w:rsidP="001D19C3">
      <w:pPr>
        <w:spacing w:after="0" w:line="240" w:lineRule="auto"/>
        <w:ind w:left="720"/>
        <w:jc w:val="both"/>
        <w:rPr>
          <w:rFonts w:eastAsia="Times New Roman" w:cs="Times New Roman"/>
          <w:szCs w:val="24"/>
        </w:rPr>
      </w:pPr>
    </w:p>
    <w:p w:rsidR="005F10CD" w:rsidRPr="00DB48EE" w:rsidRDefault="005F10CD" w:rsidP="001D19C3">
      <w:pPr>
        <w:spacing w:after="0" w:line="240" w:lineRule="auto"/>
        <w:ind w:left="720"/>
        <w:jc w:val="both"/>
        <w:rPr>
          <w:rFonts w:eastAsia="Times New Roman" w:cs="Times New Roman"/>
          <w:szCs w:val="24"/>
        </w:rPr>
      </w:pPr>
      <w:r w:rsidRPr="00DB48EE">
        <w:rPr>
          <w:rFonts w:eastAsia="Times New Roman" w:cs="Times New Roman"/>
          <w:szCs w:val="24"/>
        </w:rPr>
        <w:t xml:space="preserve">(d) </w:t>
      </w:r>
      <w:r>
        <w:rPr>
          <w:rFonts w:eastAsia="Times New Roman" w:cs="Times New Roman"/>
          <w:szCs w:val="24"/>
        </w:rPr>
        <w:t>Requires, n</w:t>
      </w:r>
      <w:r w:rsidRPr="00DB48EE">
        <w:rPr>
          <w:rFonts w:eastAsia="Times New Roman" w:cs="Times New Roman"/>
          <w:szCs w:val="24"/>
        </w:rPr>
        <w:t>ot later than the 90th day after the effective date of this Act:</w:t>
      </w:r>
    </w:p>
    <w:p w:rsidR="005F10CD" w:rsidRDefault="005F10CD" w:rsidP="001D19C3">
      <w:pPr>
        <w:spacing w:after="0" w:line="240" w:lineRule="auto"/>
        <w:ind w:left="1440"/>
        <w:jc w:val="both"/>
        <w:rPr>
          <w:rFonts w:eastAsia="Times New Roman" w:cs="Times New Roman"/>
          <w:szCs w:val="24"/>
        </w:rPr>
      </w:pPr>
    </w:p>
    <w:p w:rsidR="005F10CD" w:rsidRPr="00DB48EE"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(1)</w:t>
      </w:r>
      <w:r>
        <w:rPr>
          <w:rFonts w:eastAsia="Times New Roman" w:cs="Times New Roman"/>
          <w:szCs w:val="24"/>
        </w:rPr>
        <w:t xml:space="preserve"> RRC</w:t>
      </w:r>
      <w:r w:rsidRPr="00DB48EE">
        <w:rPr>
          <w:rFonts w:eastAsia="Times New Roman" w:cs="Times New Roman"/>
          <w:szCs w:val="24"/>
        </w:rPr>
        <w:t xml:space="preserve"> </w:t>
      </w:r>
      <w:r>
        <w:rPr>
          <w:rFonts w:eastAsia="Times New Roman" w:cs="Times New Roman"/>
          <w:szCs w:val="24"/>
        </w:rPr>
        <w:t>to</w:t>
      </w:r>
      <w:r w:rsidRPr="00DB48EE">
        <w:rPr>
          <w:rFonts w:eastAsia="Times New Roman" w:cs="Times New Roman"/>
          <w:szCs w:val="24"/>
        </w:rPr>
        <w:t xml:space="preserve"> issue a substitute permit under the name and authority of </w:t>
      </w:r>
      <w:r>
        <w:rPr>
          <w:rFonts w:eastAsia="Times New Roman" w:cs="Times New Roman"/>
          <w:szCs w:val="24"/>
        </w:rPr>
        <w:t>RRC</w:t>
      </w:r>
      <w:r w:rsidRPr="00DB48EE">
        <w:rPr>
          <w:rFonts w:eastAsia="Times New Roman" w:cs="Times New Roman"/>
          <w:szCs w:val="24"/>
        </w:rPr>
        <w:t xml:space="preserve"> to each person who on the effective date of this Act holds a valid permit issued by </w:t>
      </w:r>
      <w:r>
        <w:rPr>
          <w:rFonts w:eastAsia="Times New Roman" w:cs="Times New Roman"/>
          <w:szCs w:val="24"/>
        </w:rPr>
        <w:t>TCEQ</w:t>
      </w:r>
      <w:r w:rsidRPr="00DB48EE">
        <w:rPr>
          <w:rFonts w:eastAsia="Times New Roman" w:cs="Times New Roman"/>
          <w:szCs w:val="24"/>
        </w:rPr>
        <w:t xml:space="preserve"> for a closed-loop geothermal injection well; and</w:t>
      </w:r>
    </w:p>
    <w:p w:rsidR="005F10CD" w:rsidRDefault="005F10CD" w:rsidP="001D19C3">
      <w:pPr>
        <w:spacing w:after="0" w:line="240" w:lineRule="auto"/>
        <w:ind w:left="1440"/>
        <w:jc w:val="both"/>
        <w:rPr>
          <w:rFonts w:eastAsia="Times New Roman" w:cs="Times New Roman"/>
          <w:szCs w:val="24"/>
        </w:rPr>
      </w:pPr>
    </w:p>
    <w:p w:rsidR="005F10CD" w:rsidRDefault="005F10CD" w:rsidP="001D19C3">
      <w:pPr>
        <w:spacing w:after="0" w:line="240" w:lineRule="auto"/>
        <w:ind w:left="1440"/>
        <w:jc w:val="both"/>
        <w:rPr>
          <w:rFonts w:eastAsia="Times New Roman" w:cs="Times New Roman"/>
          <w:szCs w:val="24"/>
        </w:rPr>
      </w:pPr>
      <w:r w:rsidRPr="00DB48EE">
        <w:rPr>
          <w:rFonts w:eastAsia="Times New Roman" w:cs="Times New Roman"/>
          <w:szCs w:val="24"/>
        </w:rPr>
        <w:t xml:space="preserve">(2) </w:t>
      </w:r>
      <w:r>
        <w:rPr>
          <w:rFonts w:eastAsia="Times New Roman" w:cs="Times New Roman"/>
          <w:szCs w:val="24"/>
        </w:rPr>
        <w:t>TCEQ</w:t>
      </w:r>
      <w:r w:rsidRPr="00DB48EE">
        <w:rPr>
          <w:rFonts w:eastAsia="Times New Roman" w:cs="Times New Roman"/>
          <w:szCs w:val="24"/>
        </w:rPr>
        <w:t xml:space="preserve"> </w:t>
      </w:r>
      <w:r>
        <w:rPr>
          <w:rFonts w:eastAsia="Times New Roman" w:cs="Times New Roman"/>
          <w:szCs w:val="24"/>
        </w:rPr>
        <w:t>to</w:t>
      </w:r>
      <w:r w:rsidRPr="00DB48EE">
        <w:rPr>
          <w:rFonts w:eastAsia="Times New Roman" w:cs="Times New Roman"/>
          <w:szCs w:val="24"/>
        </w:rPr>
        <w:t xml:space="preserve"> transmit to </w:t>
      </w:r>
      <w:r>
        <w:rPr>
          <w:rFonts w:eastAsia="Times New Roman" w:cs="Times New Roman"/>
          <w:szCs w:val="24"/>
        </w:rPr>
        <w:t>RRC</w:t>
      </w:r>
      <w:r w:rsidRPr="00DB48EE">
        <w:rPr>
          <w:rFonts w:eastAsia="Times New Roman" w:cs="Times New Roman"/>
          <w:szCs w:val="24"/>
        </w:rPr>
        <w:t xml:space="preserve"> all pending applications for closed-loop geothermal injection wells submitted to </w:t>
      </w:r>
      <w:r>
        <w:rPr>
          <w:rFonts w:eastAsia="Times New Roman" w:cs="Times New Roman"/>
          <w:szCs w:val="24"/>
        </w:rPr>
        <w:t>TCEQ</w:t>
      </w:r>
      <w:r w:rsidRPr="00DB48EE">
        <w:rPr>
          <w:rFonts w:eastAsia="Times New Roman" w:cs="Times New Roman"/>
          <w:szCs w:val="24"/>
        </w:rPr>
        <w:t xml:space="preserve"> before the effective date of this Act.</w:t>
      </w:r>
    </w:p>
    <w:p w:rsidR="005F10CD" w:rsidRPr="00DB48EE" w:rsidRDefault="005F10CD" w:rsidP="001D19C3">
      <w:pPr>
        <w:spacing w:after="0" w:line="240" w:lineRule="auto"/>
        <w:ind w:left="1440"/>
        <w:jc w:val="both"/>
        <w:rPr>
          <w:rFonts w:eastAsia="Times New Roman" w:cs="Times New Roman"/>
          <w:szCs w:val="24"/>
        </w:rPr>
      </w:pPr>
    </w:p>
    <w:p w:rsidR="005F10CD" w:rsidRPr="00C8671F" w:rsidRDefault="005F10CD" w:rsidP="001D19C3">
      <w:pPr>
        <w:spacing w:after="0" w:line="240" w:lineRule="auto"/>
        <w:jc w:val="both"/>
        <w:rPr>
          <w:rFonts w:eastAsia="Times New Roman" w:cs="Times New Roman"/>
          <w:szCs w:val="24"/>
        </w:rPr>
      </w:pPr>
      <w:r w:rsidRPr="00DB48EE">
        <w:rPr>
          <w:rFonts w:eastAsia="Times New Roman" w:cs="Times New Roman"/>
          <w:szCs w:val="24"/>
        </w:rPr>
        <w:t>SECTION 3.</w:t>
      </w:r>
      <w:r>
        <w:rPr>
          <w:rFonts w:eastAsia="Times New Roman" w:cs="Times New Roman"/>
          <w:szCs w:val="24"/>
        </w:rPr>
        <w:t xml:space="preserve"> Effective date: </w:t>
      </w:r>
      <w:r w:rsidRPr="00DB48EE">
        <w:rPr>
          <w:rFonts w:eastAsia="Times New Roman" w:cs="Times New Roman"/>
          <w:szCs w:val="24"/>
        </w:rPr>
        <w:t>September 1, 2023.</w:t>
      </w:r>
      <w:r w:rsidRPr="005C2A78">
        <w:rPr>
          <w:rFonts w:eastAsia="Times New Roman" w:cs="Times New Roman"/>
          <w:szCs w:val="24"/>
        </w:rPr>
        <w:t xml:space="preserve"> </w:t>
      </w:r>
    </w:p>
    <w:sectPr w:rsidR="005F10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F0F" w:rsidRDefault="003F7F0F" w:rsidP="000F1DF9">
      <w:pPr>
        <w:spacing w:after="0" w:line="240" w:lineRule="auto"/>
      </w:pPr>
      <w:r>
        <w:separator/>
      </w:r>
    </w:p>
  </w:endnote>
  <w:endnote w:type="continuationSeparator" w:id="0">
    <w:p w:rsidR="003F7F0F" w:rsidRDefault="003F7F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7F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10C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10CD">
                <w:rPr>
                  <w:sz w:val="20"/>
                  <w:szCs w:val="20"/>
                </w:rPr>
                <w:t>S.B. 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10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7F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F0F" w:rsidRDefault="003F7F0F" w:rsidP="000F1DF9">
      <w:pPr>
        <w:spacing w:after="0" w:line="240" w:lineRule="auto"/>
      </w:pPr>
      <w:r>
        <w:separator/>
      </w:r>
    </w:p>
  </w:footnote>
  <w:footnote w:type="continuationSeparator" w:id="0">
    <w:p w:rsidR="003F7F0F" w:rsidRDefault="003F7F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7F0F"/>
    <w:rsid w:val="00404760"/>
    <w:rsid w:val="0045110C"/>
    <w:rsid w:val="00503AD0"/>
    <w:rsid w:val="005320AA"/>
    <w:rsid w:val="00544B9F"/>
    <w:rsid w:val="00585C31"/>
    <w:rsid w:val="005A7918"/>
    <w:rsid w:val="005E0AC7"/>
    <w:rsid w:val="005F10CD"/>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8706"/>
  <w15:docId w15:val="{1E3B0F17-2451-4EE5-8073-A5344C05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10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67BA6784DA45FA969806A096C011C7"/>
        <w:category>
          <w:name w:val="General"/>
          <w:gallery w:val="placeholder"/>
        </w:category>
        <w:types>
          <w:type w:val="bbPlcHdr"/>
        </w:types>
        <w:behaviors>
          <w:behavior w:val="content"/>
        </w:behaviors>
        <w:guid w:val="{2949DF15-55CD-458A-A51B-0D0A9E42C67B}"/>
      </w:docPartPr>
      <w:docPartBody>
        <w:p w:rsidR="00000000" w:rsidRDefault="00087019"/>
      </w:docPartBody>
    </w:docPart>
    <w:docPart>
      <w:docPartPr>
        <w:name w:val="E5E2C99E76364398B7BE269FEC0C8848"/>
        <w:category>
          <w:name w:val="General"/>
          <w:gallery w:val="placeholder"/>
        </w:category>
        <w:types>
          <w:type w:val="bbPlcHdr"/>
        </w:types>
        <w:behaviors>
          <w:behavior w:val="content"/>
        </w:behaviors>
        <w:guid w:val="{0FAA9D35-5DD7-4ECD-B742-56C278746ECF}"/>
      </w:docPartPr>
      <w:docPartBody>
        <w:p w:rsidR="00000000" w:rsidRDefault="00087019"/>
      </w:docPartBody>
    </w:docPart>
    <w:docPart>
      <w:docPartPr>
        <w:name w:val="69E75B0C43454F5CBC798152B011E80C"/>
        <w:category>
          <w:name w:val="General"/>
          <w:gallery w:val="placeholder"/>
        </w:category>
        <w:types>
          <w:type w:val="bbPlcHdr"/>
        </w:types>
        <w:behaviors>
          <w:behavior w:val="content"/>
        </w:behaviors>
        <w:guid w:val="{B337081B-2672-4E81-822D-D5D199AF81B9}"/>
      </w:docPartPr>
      <w:docPartBody>
        <w:p w:rsidR="00000000" w:rsidRDefault="00087019"/>
      </w:docPartBody>
    </w:docPart>
    <w:docPart>
      <w:docPartPr>
        <w:name w:val="C4A4744AE17C472FAD04EB77BB63F8A4"/>
        <w:category>
          <w:name w:val="General"/>
          <w:gallery w:val="placeholder"/>
        </w:category>
        <w:types>
          <w:type w:val="bbPlcHdr"/>
        </w:types>
        <w:behaviors>
          <w:behavior w:val="content"/>
        </w:behaviors>
        <w:guid w:val="{AED2EF0E-E77A-4C8F-8034-107F2AFF7F52}"/>
      </w:docPartPr>
      <w:docPartBody>
        <w:p w:rsidR="00000000" w:rsidRDefault="00087019"/>
      </w:docPartBody>
    </w:docPart>
    <w:docPart>
      <w:docPartPr>
        <w:name w:val="6EC9F4160DFF4D1891A96A822367D1F2"/>
        <w:category>
          <w:name w:val="General"/>
          <w:gallery w:val="placeholder"/>
        </w:category>
        <w:types>
          <w:type w:val="bbPlcHdr"/>
        </w:types>
        <w:behaviors>
          <w:behavior w:val="content"/>
        </w:behaviors>
        <w:guid w:val="{D336150E-6C43-43B0-8812-B8CD2738823C}"/>
      </w:docPartPr>
      <w:docPartBody>
        <w:p w:rsidR="00000000" w:rsidRDefault="00087019"/>
      </w:docPartBody>
    </w:docPart>
    <w:docPart>
      <w:docPartPr>
        <w:name w:val="FD676D4D37064025BDDF1E66A9DDB34C"/>
        <w:category>
          <w:name w:val="General"/>
          <w:gallery w:val="placeholder"/>
        </w:category>
        <w:types>
          <w:type w:val="bbPlcHdr"/>
        </w:types>
        <w:behaviors>
          <w:behavior w:val="content"/>
        </w:behaviors>
        <w:guid w:val="{4470B853-0A1A-46BA-89EC-D5503332CF28}"/>
      </w:docPartPr>
      <w:docPartBody>
        <w:p w:rsidR="00000000" w:rsidRDefault="00087019"/>
      </w:docPartBody>
    </w:docPart>
    <w:docPart>
      <w:docPartPr>
        <w:name w:val="FD471000D5D84B2A9A025505FD788BE4"/>
        <w:category>
          <w:name w:val="General"/>
          <w:gallery w:val="placeholder"/>
        </w:category>
        <w:types>
          <w:type w:val="bbPlcHdr"/>
        </w:types>
        <w:behaviors>
          <w:behavior w:val="content"/>
        </w:behaviors>
        <w:guid w:val="{93E6731E-09B6-4E9E-AC82-A0C73230A503}"/>
      </w:docPartPr>
      <w:docPartBody>
        <w:p w:rsidR="00000000" w:rsidRDefault="00087019"/>
      </w:docPartBody>
    </w:docPart>
    <w:docPart>
      <w:docPartPr>
        <w:name w:val="E0920839F1824BBC96DD8F8B26DCC2E5"/>
        <w:category>
          <w:name w:val="General"/>
          <w:gallery w:val="placeholder"/>
        </w:category>
        <w:types>
          <w:type w:val="bbPlcHdr"/>
        </w:types>
        <w:behaviors>
          <w:behavior w:val="content"/>
        </w:behaviors>
        <w:guid w:val="{6C0B10DD-137B-496D-AAE8-84093BBDCF42}"/>
      </w:docPartPr>
      <w:docPartBody>
        <w:p w:rsidR="00000000" w:rsidRDefault="00087019"/>
      </w:docPartBody>
    </w:docPart>
    <w:docPart>
      <w:docPartPr>
        <w:name w:val="113428E4D5754E9BA0B8E21E7EE732CD"/>
        <w:category>
          <w:name w:val="General"/>
          <w:gallery w:val="placeholder"/>
        </w:category>
        <w:types>
          <w:type w:val="bbPlcHdr"/>
        </w:types>
        <w:behaviors>
          <w:behavior w:val="content"/>
        </w:behaviors>
        <w:guid w:val="{4CC53CB9-F583-40F5-8FC4-346744368A70}"/>
      </w:docPartPr>
      <w:docPartBody>
        <w:p w:rsidR="00000000" w:rsidRDefault="00087019"/>
      </w:docPartBody>
    </w:docPart>
    <w:docPart>
      <w:docPartPr>
        <w:name w:val="AFB55158130748009F267FD54CBFC642"/>
        <w:category>
          <w:name w:val="General"/>
          <w:gallery w:val="placeholder"/>
        </w:category>
        <w:types>
          <w:type w:val="bbPlcHdr"/>
        </w:types>
        <w:behaviors>
          <w:behavior w:val="content"/>
        </w:behaviors>
        <w:guid w:val="{BFCDF8CD-BFAF-4B1F-A0A3-0CEA26DA37FE}"/>
      </w:docPartPr>
      <w:docPartBody>
        <w:p w:rsidR="00000000" w:rsidRDefault="00FF6DA4" w:rsidP="00FF6DA4">
          <w:pPr>
            <w:pStyle w:val="AFB55158130748009F267FD54CBFC642"/>
          </w:pPr>
          <w:r w:rsidRPr="00A30DD1">
            <w:rPr>
              <w:rStyle w:val="PlaceholderText"/>
            </w:rPr>
            <w:t>Click here to enter a date.</w:t>
          </w:r>
        </w:p>
      </w:docPartBody>
    </w:docPart>
    <w:docPart>
      <w:docPartPr>
        <w:name w:val="ED28DF4B7A574C2C9A4062F21804912F"/>
        <w:category>
          <w:name w:val="General"/>
          <w:gallery w:val="placeholder"/>
        </w:category>
        <w:types>
          <w:type w:val="bbPlcHdr"/>
        </w:types>
        <w:behaviors>
          <w:behavior w:val="content"/>
        </w:behaviors>
        <w:guid w:val="{5EE7D26C-1DC2-4938-89C0-DA9403AC9F6A}"/>
      </w:docPartPr>
      <w:docPartBody>
        <w:p w:rsidR="00000000" w:rsidRDefault="00087019"/>
      </w:docPartBody>
    </w:docPart>
    <w:docPart>
      <w:docPartPr>
        <w:name w:val="83A9D6FF66254BB295691FD38E436F0F"/>
        <w:category>
          <w:name w:val="General"/>
          <w:gallery w:val="placeholder"/>
        </w:category>
        <w:types>
          <w:type w:val="bbPlcHdr"/>
        </w:types>
        <w:behaviors>
          <w:behavior w:val="content"/>
        </w:behaviors>
        <w:guid w:val="{F0B73061-D47C-4CFA-9CED-B20AC7247AEC}"/>
      </w:docPartPr>
      <w:docPartBody>
        <w:p w:rsidR="00000000" w:rsidRDefault="00087019"/>
      </w:docPartBody>
    </w:docPart>
    <w:docPart>
      <w:docPartPr>
        <w:name w:val="68F21002CFC646B080C95A5C2BAB27AD"/>
        <w:category>
          <w:name w:val="General"/>
          <w:gallery w:val="placeholder"/>
        </w:category>
        <w:types>
          <w:type w:val="bbPlcHdr"/>
        </w:types>
        <w:behaviors>
          <w:behavior w:val="content"/>
        </w:behaviors>
        <w:guid w:val="{95AA0092-C40E-40BC-8CDD-A05BC67411FB}"/>
      </w:docPartPr>
      <w:docPartBody>
        <w:p w:rsidR="00000000" w:rsidRDefault="00FF6DA4" w:rsidP="00FF6DA4">
          <w:pPr>
            <w:pStyle w:val="68F21002CFC646B080C95A5C2BAB27AD"/>
          </w:pPr>
          <w:r>
            <w:rPr>
              <w:rFonts w:eastAsia="Times New Roman" w:cs="Times New Roman"/>
              <w:bCs/>
              <w:szCs w:val="24"/>
            </w:rPr>
            <w:t xml:space="preserve"> </w:t>
          </w:r>
        </w:p>
      </w:docPartBody>
    </w:docPart>
    <w:docPart>
      <w:docPartPr>
        <w:name w:val="67516AA33DE9485CBDD75DC073A0087A"/>
        <w:category>
          <w:name w:val="General"/>
          <w:gallery w:val="placeholder"/>
        </w:category>
        <w:types>
          <w:type w:val="bbPlcHdr"/>
        </w:types>
        <w:behaviors>
          <w:behavior w:val="content"/>
        </w:behaviors>
        <w:guid w:val="{D0994A31-9671-4341-A07B-86564157429B}"/>
      </w:docPartPr>
      <w:docPartBody>
        <w:p w:rsidR="00000000" w:rsidRDefault="00087019"/>
      </w:docPartBody>
    </w:docPart>
    <w:docPart>
      <w:docPartPr>
        <w:name w:val="E6950E22E45240299DAC8F8BBB9DF98F"/>
        <w:category>
          <w:name w:val="General"/>
          <w:gallery w:val="placeholder"/>
        </w:category>
        <w:types>
          <w:type w:val="bbPlcHdr"/>
        </w:types>
        <w:behaviors>
          <w:behavior w:val="content"/>
        </w:behaviors>
        <w:guid w:val="{41AD9691-8100-4BB4-855D-3F833472C821}"/>
      </w:docPartPr>
      <w:docPartBody>
        <w:p w:rsidR="00000000" w:rsidRDefault="000870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701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DA4"/>
    <w:rPr>
      <w:color w:val="808080"/>
    </w:rPr>
  </w:style>
  <w:style w:type="paragraph" w:customStyle="1" w:styleId="AFB55158130748009F267FD54CBFC642">
    <w:name w:val="AFB55158130748009F267FD54CBFC642"/>
    <w:rsid w:val="00FF6DA4"/>
    <w:pPr>
      <w:spacing w:after="160" w:line="259" w:lineRule="auto"/>
    </w:pPr>
  </w:style>
  <w:style w:type="paragraph" w:customStyle="1" w:styleId="68F21002CFC646B080C95A5C2BAB27AD">
    <w:name w:val="68F21002CFC646B080C95A5C2BAB27AD"/>
    <w:rsid w:val="00FF6DA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737</Words>
  <Characters>4201</Characters>
  <Application>Microsoft Office Word</Application>
  <DocSecurity>0</DocSecurity>
  <Lines>35</Lines>
  <Paragraphs>9</Paragraphs>
  <ScaleCrop>false</ScaleCrop>
  <Company>Texas Legislative Council</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2023-03-27T14:15:00Z</dcterms:modified>
</cp:coreProperties>
</file>

<file path=docProps/custom.xml><?xml version="1.0" encoding="utf-8"?>
<op:Properties xmlns:vt="http://schemas.openxmlformats.org/officeDocument/2006/docPropsVTypes" xmlns:op="http://schemas.openxmlformats.org/officeDocument/2006/custom-properties"/>
</file>