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65274C" w14:paraId="24256D7F" w14:textId="77777777" w:rsidTr="00345119">
        <w:tc>
          <w:tcPr>
            <w:tcW w:w="9576" w:type="dxa"/>
            <w:noWrap/>
          </w:tcPr>
          <w:p w14:paraId="391CE261" w14:textId="49BA9063" w:rsidR="008423E4" w:rsidRPr="0022177D" w:rsidRDefault="00174405" w:rsidP="00F3700B">
            <w:pPr>
              <w:pStyle w:val="Heading1"/>
            </w:pPr>
            <w:r w:rsidRPr="00631897">
              <w:t>BILL ANALYSIS</w:t>
            </w:r>
          </w:p>
        </w:tc>
      </w:tr>
    </w:tbl>
    <w:p w14:paraId="4AE654D6" w14:textId="77777777" w:rsidR="008423E4" w:rsidRPr="0022177D" w:rsidRDefault="008423E4" w:rsidP="00F3700B">
      <w:pPr>
        <w:jc w:val="center"/>
      </w:pPr>
    </w:p>
    <w:p w14:paraId="01517C53" w14:textId="77777777" w:rsidR="008423E4" w:rsidRPr="00B31F0E" w:rsidRDefault="008423E4" w:rsidP="00F3700B"/>
    <w:p w14:paraId="2E1B22D1" w14:textId="77777777" w:rsidR="008423E4" w:rsidRPr="00742794" w:rsidRDefault="008423E4" w:rsidP="00F3700B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65274C" w14:paraId="206D1F7C" w14:textId="77777777" w:rsidTr="00345119">
        <w:tc>
          <w:tcPr>
            <w:tcW w:w="9576" w:type="dxa"/>
          </w:tcPr>
          <w:p w14:paraId="62137B46" w14:textId="3A1E7161" w:rsidR="008423E4" w:rsidRPr="00861995" w:rsidRDefault="00174405" w:rsidP="00F3700B">
            <w:pPr>
              <w:jc w:val="right"/>
            </w:pPr>
            <w:r>
              <w:t>S.B. 853</w:t>
            </w:r>
          </w:p>
        </w:tc>
      </w:tr>
      <w:tr w:rsidR="0065274C" w14:paraId="43172A53" w14:textId="77777777" w:rsidTr="00345119">
        <w:tc>
          <w:tcPr>
            <w:tcW w:w="9576" w:type="dxa"/>
          </w:tcPr>
          <w:p w14:paraId="155D9B30" w14:textId="3CF0721A" w:rsidR="008423E4" w:rsidRPr="00861995" w:rsidRDefault="00174405" w:rsidP="00F3700B">
            <w:pPr>
              <w:jc w:val="right"/>
            </w:pPr>
            <w:r>
              <w:t xml:space="preserve">By: </w:t>
            </w:r>
            <w:r w:rsidR="00DA754D">
              <w:t>Hancock</w:t>
            </w:r>
          </w:p>
        </w:tc>
      </w:tr>
      <w:tr w:rsidR="0065274C" w14:paraId="4EC11F98" w14:textId="77777777" w:rsidTr="00345119">
        <w:tc>
          <w:tcPr>
            <w:tcW w:w="9576" w:type="dxa"/>
          </w:tcPr>
          <w:p w14:paraId="6ABF7A3B" w14:textId="6F561D71" w:rsidR="008423E4" w:rsidRPr="00861995" w:rsidRDefault="00174405" w:rsidP="00F3700B">
            <w:pPr>
              <w:jc w:val="right"/>
            </w:pPr>
            <w:r>
              <w:t>State Affairs</w:t>
            </w:r>
          </w:p>
        </w:tc>
      </w:tr>
      <w:tr w:rsidR="0065274C" w14:paraId="4DFD2781" w14:textId="77777777" w:rsidTr="00345119">
        <w:tc>
          <w:tcPr>
            <w:tcW w:w="9576" w:type="dxa"/>
          </w:tcPr>
          <w:p w14:paraId="61E5F537" w14:textId="55B47BA0" w:rsidR="008423E4" w:rsidRDefault="00174405" w:rsidP="00F3700B">
            <w:pPr>
              <w:jc w:val="right"/>
            </w:pPr>
            <w:r>
              <w:t>Committee Report (Unamended)</w:t>
            </w:r>
          </w:p>
        </w:tc>
      </w:tr>
    </w:tbl>
    <w:p w14:paraId="03E1689E" w14:textId="77777777" w:rsidR="008423E4" w:rsidRDefault="008423E4" w:rsidP="00F3700B">
      <w:pPr>
        <w:tabs>
          <w:tab w:val="right" w:pos="9360"/>
        </w:tabs>
      </w:pPr>
    </w:p>
    <w:p w14:paraId="79772653" w14:textId="77777777" w:rsidR="008423E4" w:rsidRDefault="008423E4" w:rsidP="00F3700B"/>
    <w:p w14:paraId="6B062F71" w14:textId="77777777" w:rsidR="008423E4" w:rsidRDefault="008423E4" w:rsidP="00F3700B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65274C" w14:paraId="4096D112" w14:textId="77777777" w:rsidTr="00345119">
        <w:tc>
          <w:tcPr>
            <w:tcW w:w="9576" w:type="dxa"/>
          </w:tcPr>
          <w:p w14:paraId="6756F477" w14:textId="77777777" w:rsidR="008423E4" w:rsidRPr="00A8133F" w:rsidRDefault="00174405" w:rsidP="00F3700B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0DED6129" w14:textId="77777777" w:rsidR="008423E4" w:rsidRDefault="008423E4" w:rsidP="00F3700B"/>
          <w:p w14:paraId="66B512E5" w14:textId="2991639B" w:rsidR="008423E4" w:rsidRDefault="00174405" w:rsidP="00F3700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2F14B5">
              <w:t xml:space="preserve">Austin Energy, the municipally owned utility </w:t>
            </w:r>
            <w:r>
              <w:t>that</w:t>
            </w:r>
            <w:r w:rsidRPr="002F14B5">
              <w:t xml:space="preserve"> serves the Capitol Complex and </w:t>
            </w:r>
            <w:r>
              <w:t>most</w:t>
            </w:r>
            <w:r w:rsidRPr="002F14B5">
              <w:t xml:space="preserve"> state agency facilities, is run and has its rates set by the Austin City Council. Under current law, ratepayers inside the </w:t>
            </w:r>
            <w:r w:rsidR="00C55898">
              <w:t>C</w:t>
            </w:r>
            <w:r w:rsidRPr="002F14B5">
              <w:t xml:space="preserve">ity of Austin do not have the right to </w:t>
            </w:r>
            <w:r>
              <w:t>seek</w:t>
            </w:r>
            <w:r w:rsidRPr="002F14B5">
              <w:t xml:space="preserve"> review</w:t>
            </w:r>
            <w:r>
              <w:t xml:space="preserve"> of those rates by the Public Utility Commission of Texas</w:t>
            </w:r>
            <w:r w:rsidR="003376F6">
              <w:t xml:space="preserve"> (PUC)</w:t>
            </w:r>
            <w:r w:rsidR="00EC0E36">
              <w:t>,</w:t>
            </w:r>
            <w:r>
              <w:t xml:space="preserve"> </w:t>
            </w:r>
            <w:r w:rsidRPr="002F14B5">
              <w:t xml:space="preserve">in contrast to </w:t>
            </w:r>
            <w:r>
              <w:t>A</w:t>
            </w:r>
            <w:r>
              <w:t xml:space="preserve">ustin Energy </w:t>
            </w:r>
            <w:r w:rsidRPr="002F14B5">
              <w:t xml:space="preserve">ratepayers </w:t>
            </w:r>
            <w:r>
              <w:t xml:space="preserve">who are </w:t>
            </w:r>
            <w:r w:rsidRPr="002F14B5">
              <w:t>outside the city boundaries</w:t>
            </w:r>
            <w:r w:rsidR="0068394B">
              <w:t xml:space="preserve"> and have that right</w:t>
            </w:r>
            <w:r w:rsidRPr="002F14B5">
              <w:t>.</w:t>
            </w:r>
            <w:r>
              <w:t xml:space="preserve"> </w:t>
            </w:r>
            <w:r w:rsidR="000F3C18">
              <w:t>S.B.</w:t>
            </w:r>
            <w:r w:rsidR="00494C1E">
              <w:t> </w:t>
            </w:r>
            <w:r w:rsidR="000F3C18">
              <w:t>853</w:t>
            </w:r>
            <w:r w:rsidRPr="002F14B5">
              <w:t xml:space="preserve"> </w:t>
            </w:r>
            <w:r>
              <w:t>seeks to</w:t>
            </w:r>
            <w:r w:rsidRPr="002F14B5">
              <w:t xml:space="preserve"> give ratepayers in the City of Austin, including the State of Texas, the ability to have the rates set by the Austin City Council reviewed by the </w:t>
            </w:r>
            <w:r>
              <w:t>PUC</w:t>
            </w:r>
            <w:r w:rsidRPr="002F14B5">
              <w:t>.</w:t>
            </w:r>
          </w:p>
          <w:p w14:paraId="4BA2D373" w14:textId="77777777" w:rsidR="008423E4" w:rsidRPr="00E26B13" w:rsidRDefault="008423E4" w:rsidP="00F3700B">
            <w:pPr>
              <w:rPr>
                <w:b/>
              </w:rPr>
            </w:pPr>
          </w:p>
        </w:tc>
      </w:tr>
      <w:tr w:rsidR="0065274C" w14:paraId="3E6AC885" w14:textId="77777777" w:rsidTr="00345119">
        <w:tc>
          <w:tcPr>
            <w:tcW w:w="9576" w:type="dxa"/>
          </w:tcPr>
          <w:p w14:paraId="74DF87C3" w14:textId="77777777" w:rsidR="0017725B" w:rsidRDefault="00174405" w:rsidP="00F3700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</w:t>
            </w:r>
            <w:r>
              <w:rPr>
                <w:b/>
                <w:u w:val="single"/>
              </w:rPr>
              <w:t>INAL JUSTICE IMPACT</w:t>
            </w:r>
          </w:p>
          <w:p w14:paraId="3E683714" w14:textId="77777777" w:rsidR="0017725B" w:rsidRDefault="0017725B" w:rsidP="00F3700B">
            <w:pPr>
              <w:rPr>
                <w:b/>
                <w:u w:val="single"/>
              </w:rPr>
            </w:pPr>
          </w:p>
          <w:p w14:paraId="3F15E231" w14:textId="77777777" w:rsidR="00B97C74" w:rsidRPr="00B97C74" w:rsidRDefault="00174405" w:rsidP="00F3700B">
            <w:pPr>
              <w:jc w:val="both"/>
            </w:pPr>
            <w:r>
              <w:t xml:space="preserve">It is the committee's opinion that this bill does not expressly create a criminal offense, increase the punishment for an existing criminal offense or category of offenses, or change the eligibility of a person for community </w:t>
            </w:r>
            <w:r>
              <w:t>supervision, parole, or mandatory supervision.</w:t>
            </w:r>
          </w:p>
          <w:p w14:paraId="4593492B" w14:textId="77777777" w:rsidR="0017725B" w:rsidRPr="0017725B" w:rsidRDefault="0017725B" w:rsidP="00F3700B">
            <w:pPr>
              <w:rPr>
                <w:b/>
                <w:u w:val="single"/>
              </w:rPr>
            </w:pPr>
          </w:p>
        </w:tc>
      </w:tr>
      <w:tr w:rsidR="0065274C" w14:paraId="4331E63D" w14:textId="77777777" w:rsidTr="00345119">
        <w:tc>
          <w:tcPr>
            <w:tcW w:w="9576" w:type="dxa"/>
          </w:tcPr>
          <w:p w14:paraId="219B5E40" w14:textId="77777777" w:rsidR="008423E4" w:rsidRPr="00A8133F" w:rsidRDefault="00174405" w:rsidP="00F3700B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07B7F1C" w14:textId="77777777" w:rsidR="008423E4" w:rsidRDefault="008423E4" w:rsidP="00F3700B"/>
          <w:p w14:paraId="7CC84868" w14:textId="77777777" w:rsidR="00B97C74" w:rsidRDefault="00174405" w:rsidP="00F3700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2A8ECBEC" w14:textId="77777777" w:rsidR="008423E4" w:rsidRPr="00E21FDC" w:rsidRDefault="008423E4" w:rsidP="00F3700B">
            <w:pPr>
              <w:rPr>
                <w:b/>
              </w:rPr>
            </w:pPr>
          </w:p>
        </w:tc>
      </w:tr>
      <w:tr w:rsidR="0065274C" w14:paraId="14752E88" w14:textId="77777777" w:rsidTr="00345119">
        <w:tc>
          <w:tcPr>
            <w:tcW w:w="9576" w:type="dxa"/>
          </w:tcPr>
          <w:p w14:paraId="6C5A9344" w14:textId="77777777" w:rsidR="008423E4" w:rsidRPr="00A8133F" w:rsidRDefault="00174405" w:rsidP="00F3700B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69D08120" w14:textId="77777777" w:rsidR="008423E4" w:rsidRDefault="008423E4" w:rsidP="00F3700B"/>
          <w:p w14:paraId="5F697B10" w14:textId="1384D3DF" w:rsidR="00EC0E36" w:rsidRDefault="00174405" w:rsidP="00F3700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</w:t>
            </w:r>
            <w:r>
              <w:t>853</w:t>
            </w:r>
            <w:r w:rsidR="00415035">
              <w:t xml:space="preserve"> </w:t>
            </w:r>
            <w:r w:rsidR="00DB1E33">
              <w:t>amends the Utilities Code to authorize a group of customers</w:t>
            </w:r>
            <w:r w:rsidR="00A750E6">
              <w:t xml:space="preserve"> of a municipally owned utility that </w:t>
            </w:r>
            <w:r w:rsidR="00415035">
              <w:t xml:space="preserve">provides service in the Capitol </w:t>
            </w:r>
            <w:r w:rsidR="002F14B5" w:rsidRPr="004A7F8F">
              <w:t>C</w:t>
            </w:r>
            <w:r w:rsidR="00415035" w:rsidRPr="004A7F8F">
              <w:t>omplex</w:t>
            </w:r>
            <w:r w:rsidR="00415035">
              <w:t xml:space="preserve"> </w:t>
            </w:r>
            <w:r w:rsidR="00DB1E33">
              <w:t>to file a petition for</w:t>
            </w:r>
            <w:r w:rsidR="00BE69D1">
              <w:t xml:space="preserve"> the</w:t>
            </w:r>
            <w:r w:rsidR="00DB1E33">
              <w:t xml:space="preserve"> Public Utility Commission</w:t>
            </w:r>
            <w:r w:rsidR="00CB7DC7">
              <w:t xml:space="preserve"> of Texas</w:t>
            </w:r>
            <w:r w:rsidR="00DB1E33">
              <w:t xml:space="preserve"> (PUC)</w:t>
            </w:r>
            <w:r w:rsidR="00BE69D1">
              <w:t xml:space="preserve"> to</w:t>
            </w:r>
            <w:r w:rsidR="00DB1E33">
              <w:t xml:space="preserve"> review </w:t>
            </w:r>
            <w:r w:rsidR="00A750E6">
              <w:t xml:space="preserve">the utility's </w:t>
            </w:r>
            <w:r w:rsidR="00DB1E33">
              <w:t>current or proposed rates that apply to the petitioning customer</w:t>
            </w:r>
            <w:r>
              <w:t>s.</w:t>
            </w:r>
            <w:r w:rsidR="00DB1E33">
              <w:t xml:space="preserve"> </w:t>
            </w:r>
            <w:r w:rsidRPr="000F3C18">
              <w:t>The petition must be signed by at least five percent of the utility's customers</w:t>
            </w:r>
            <w:r>
              <w:t xml:space="preserve"> and the</w:t>
            </w:r>
            <w:r w:rsidRPr="000F3C18">
              <w:t xml:space="preserve"> signature of a retail customer may be counted as a valid signature only on the first filed petition on which that customer's </w:t>
            </w:r>
            <w:r w:rsidRPr="000F3C18">
              <w:t>signature appears</w:t>
            </w:r>
            <w:r>
              <w:t>.</w:t>
            </w:r>
          </w:p>
          <w:p w14:paraId="1C801E75" w14:textId="77777777" w:rsidR="00B71114" w:rsidRDefault="00B71114" w:rsidP="00F3700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6DF44074" w14:textId="69C0D898" w:rsidR="00415035" w:rsidRDefault="00174405" w:rsidP="00F3700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853</w:t>
            </w:r>
            <w:r w:rsidR="00EC0E36" w:rsidRPr="00EC0E36">
              <w:t xml:space="preserve"> </w:t>
            </w:r>
            <w:r w:rsidR="00DB1E33">
              <w:t>requires the PUC</w:t>
            </w:r>
            <w:r w:rsidR="007671D2">
              <w:t xml:space="preserve"> to </w:t>
            </w:r>
            <w:r w:rsidR="00DB1E33" w:rsidRPr="00DB1E33">
              <w:t xml:space="preserve">initiate a proceeding not later than the 90th day after the petition is submitted to determine whether the </w:t>
            </w:r>
            <w:r w:rsidR="00375A91">
              <w:t xml:space="preserve">utility's </w:t>
            </w:r>
            <w:r w:rsidR="00DB1E33" w:rsidRPr="00DB1E33">
              <w:t xml:space="preserve">rates are consistent with the rates available to similarly situated customers in areas of </w:t>
            </w:r>
            <w:r w:rsidR="00A750E6">
              <w:t>Texas</w:t>
            </w:r>
            <w:r w:rsidR="00DB1E33" w:rsidRPr="00DB1E33">
              <w:t xml:space="preserve"> that h</w:t>
            </w:r>
            <w:r w:rsidR="00461568">
              <w:t xml:space="preserve">ave access to customer choice and to </w:t>
            </w:r>
            <w:r w:rsidR="007671D2">
              <w:t xml:space="preserve">deny the petition if it </w:t>
            </w:r>
            <w:r w:rsidR="00DB1E33" w:rsidRPr="004A7F8F">
              <w:t xml:space="preserve">determines that the </w:t>
            </w:r>
            <w:r w:rsidR="00A80091">
              <w:t>utility's</w:t>
            </w:r>
            <w:r w:rsidR="004A7F8F" w:rsidRPr="004A7F8F">
              <w:t xml:space="preserve"> </w:t>
            </w:r>
            <w:r w:rsidR="00DB1E33" w:rsidRPr="004A7F8F">
              <w:t xml:space="preserve">rates </w:t>
            </w:r>
            <w:r w:rsidR="00002E41" w:rsidRPr="004A7F8F">
              <w:t xml:space="preserve">are consistent with the rates available to similarly situated customers in areas of </w:t>
            </w:r>
            <w:r w:rsidR="004A7F8F" w:rsidRPr="004A7F8F">
              <w:t>Texas</w:t>
            </w:r>
            <w:r w:rsidR="00002E41" w:rsidRPr="004A7F8F">
              <w:t xml:space="preserve"> that have access to customer choice</w:t>
            </w:r>
            <w:r w:rsidR="00DB1E33" w:rsidRPr="004A7F8F">
              <w:t>.</w:t>
            </w:r>
            <w:r w:rsidR="00B97C74">
              <w:t xml:space="preserve"> </w:t>
            </w:r>
            <w:r w:rsidRPr="000F3C18">
              <w:t>For the</w:t>
            </w:r>
            <w:r>
              <w:t>se</w:t>
            </w:r>
            <w:r w:rsidRPr="000F3C18">
              <w:t xml:space="preserve"> purposes, the </w:t>
            </w:r>
            <w:r>
              <w:t xml:space="preserve">utility's </w:t>
            </w:r>
            <w:r w:rsidRPr="000F3C18">
              <w:t xml:space="preserve">rates are inconsistent with the rates available to similarly situated customers in areas of </w:t>
            </w:r>
            <w:r>
              <w:t>Tex</w:t>
            </w:r>
            <w:r>
              <w:t>as</w:t>
            </w:r>
            <w:r w:rsidRPr="000F3C18">
              <w:t xml:space="preserve"> that have access to customer choice if an average rate paid by the </w:t>
            </w:r>
            <w:r>
              <w:t xml:space="preserve">utility's </w:t>
            </w:r>
            <w:r w:rsidRPr="000F3C18">
              <w:t>customers during the most recent five years is at least 10 percent higher than the comparable average rate paid during the same five-year period by similarly situated customers</w:t>
            </w:r>
            <w:r w:rsidRPr="000F3C18">
              <w:t xml:space="preserve"> in areas of </w:t>
            </w:r>
            <w:r>
              <w:t>Texas</w:t>
            </w:r>
            <w:r w:rsidRPr="000F3C18">
              <w:t xml:space="preserve"> that have access to customer choice.</w:t>
            </w:r>
          </w:p>
          <w:p w14:paraId="24B511AD" w14:textId="77777777" w:rsidR="00415035" w:rsidRPr="00715AC9" w:rsidRDefault="00415035" w:rsidP="00F3700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szCs w:val="22"/>
              </w:rPr>
            </w:pPr>
          </w:p>
          <w:p w14:paraId="42940B48" w14:textId="26421D1B" w:rsidR="0014624E" w:rsidRDefault="00174405" w:rsidP="00F3700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853</w:t>
            </w:r>
            <w:r w:rsidR="00415035">
              <w:t xml:space="preserve"> </w:t>
            </w:r>
            <w:r w:rsidR="00461568">
              <w:t xml:space="preserve">requires </w:t>
            </w:r>
            <w:r w:rsidR="00A750E6">
              <w:t>a</w:t>
            </w:r>
            <w:r w:rsidR="00461568">
              <w:t xml:space="preserve"> utility</w:t>
            </w:r>
            <w:r w:rsidR="00A750E6">
              <w:t xml:space="preserve"> subject to a petition</w:t>
            </w:r>
            <w:r w:rsidR="00461568">
              <w:t xml:space="preserve"> the PUC does not deny to file a rate application with the PUC that complies in all material respects with the</w:t>
            </w:r>
            <w:r w:rsidR="00375A91">
              <w:t xml:space="preserve"> PUC</w:t>
            </w:r>
            <w:r w:rsidR="00BE69D1">
              <w:t>-</w:t>
            </w:r>
            <w:r w:rsidR="00375A91">
              <w:t>prescribed</w:t>
            </w:r>
            <w:r w:rsidR="00461568">
              <w:t xml:space="preserve"> rules and forms</w:t>
            </w:r>
            <w:r w:rsidR="00415035">
              <w:t xml:space="preserve"> not later than the 90th day after the date of the determination </w:t>
            </w:r>
            <w:r w:rsidR="00375A91">
              <w:t>and</w:t>
            </w:r>
            <w:r w:rsidR="00461568">
              <w:t xml:space="preserve"> authorizes the PUC to extend the</w:t>
            </w:r>
            <w:r w:rsidR="00375A91">
              <w:t xml:space="preserve"> filing</w:t>
            </w:r>
            <w:r w:rsidR="00461568">
              <w:t xml:space="preserve"> deadline </w:t>
            </w:r>
            <w:r w:rsidR="00A750E6">
              <w:t>for good cause</w:t>
            </w:r>
            <w:r w:rsidR="00461568">
              <w:t>.</w:t>
            </w:r>
            <w:r w:rsidR="00404061">
              <w:t xml:space="preserve"> </w:t>
            </w:r>
          </w:p>
          <w:p w14:paraId="580409E8" w14:textId="77777777" w:rsidR="0014624E" w:rsidRPr="00715AC9" w:rsidRDefault="0014624E" w:rsidP="00F3700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szCs w:val="22"/>
              </w:rPr>
            </w:pPr>
          </w:p>
          <w:p w14:paraId="468612A6" w14:textId="51635F23" w:rsidR="008423E4" w:rsidRDefault="00174405" w:rsidP="00F3700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853</w:t>
            </w:r>
            <w:r w:rsidR="0014624E">
              <w:t xml:space="preserve"> </w:t>
            </w:r>
            <w:r w:rsidR="00461568">
              <w:t>requires the PUC to conduct a full review of the rates applicable to the petitioning customer or group to determine whether those</w:t>
            </w:r>
            <w:r w:rsidR="00404061">
              <w:t xml:space="preserve"> rates are just and reasonable</w:t>
            </w:r>
            <w:r w:rsidR="00002E41">
              <w:t xml:space="preserve"> using the standards prescribed by Utilities Code provisions relating to the setting of rates</w:t>
            </w:r>
            <w:r w:rsidR="00461568">
              <w:t>, notwithstanding the lack of consistency between those rates and rates available to similarly situated customers</w:t>
            </w:r>
            <w:r w:rsidR="004A7F8F">
              <w:t xml:space="preserve"> in areas of Texas</w:t>
            </w:r>
            <w:r w:rsidR="00461568">
              <w:t xml:space="preserve"> </w:t>
            </w:r>
            <w:r w:rsidR="004A7F8F">
              <w:t xml:space="preserve">that have </w:t>
            </w:r>
            <w:r w:rsidR="00404061">
              <w:t>access to customer choice, and requires the PUC to</w:t>
            </w:r>
            <w:r w:rsidR="00461568">
              <w:t xml:space="preserve"> </w:t>
            </w:r>
            <w:r w:rsidR="00404061">
              <w:t>deny the petition if it determines</w:t>
            </w:r>
            <w:r w:rsidR="00461568">
              <w:t xml:space="preserve"> the rates are ju</w:t>
            </w:r>
            <w:r w:rsidR="00404061">
              <w:t>st and reasonable</w:t>
            </w:r>
            <w:r w:rsidR="00461568">
              <w:t>.</w:t>
            </w:r>
            <w:r w:rsidR="00404061">
              <w:t xml:space="preserve"> </w:t>
            </w:r>
            <w:r w:rsidR="00415035">
              <w:t>I</w:t>
            </w:r>
            <w:r w:rsidR="00404061">
              <w:t>f</w:t>
            </w:r>
            <w:r w:rsidR="00415035">
              <w:t xml:space="preserve"> the PUC</w:t>
            </w:r>
            <w:r w:rsidR="00461568">
              <w:t xml:space="preserve"> determines that the rates are not just and reasonable</w:t>
            </w:r>
            <w:r w:rsidR="00404061">
              <w:t xml:space="preserve">, </w:t>
            </w:r>
            <w:r w:rsidR="00415035">
              <w:t xml:space="preserve">it must </w:t>
            </w:r>
            <w:r w:rsidR="00461568">
              <w:t xml:space="preserve">set rates for the petitioning customer or group that are just, reasonable, and consistent with the rates available to similarly situated customers </w:t>
            </w:r>
            <w:r w:rsidR="004A7F8F">
              <w:t>in areas of Texas that have</w:t>
            </w:r>
            <w:r w:rsidR="00461568" w:rsidRPr="004A7F8F">
              <w:t xml:space="preserve"> access to customer choice</w:t>
            </w:r>
            <w:r w:rsidR="00461568">
              <w:t>.</w:t>
            </w:r>
          </w:p>
          <w:p w14:paraId="31919EE5" w14:textId="61625281" w:rsidR="000F3C18" w:rsidRDefault="000F3C18" w:rsidP="00F3700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14040871" w14:textId="46815BD8" w:rsidR="000F3C18" w:rsidRDefault="00174405" w:rsidP="00F3700B">
            <w:pPr>
              <w:pStyle w:val="Header"/>
              <w:jc w:val="both"/>
            </w:pPr>
            <w:r>
              <w:t>S.B. 853 limits</w:t>
            </w:r>
            <w:r w:rsidR="00B8240A">
              <w:t xml:space="preserve"> to one</w:t>
            </w:r>
            <w:r>
              <w:t xml:space="preserve"> the number of reviews the PUC may conduct for each applicable municipally owned utility</w:t>
            </w:r>
            <w:r w:rsidR="00EF442B">
              <w:t xml:space="preserve"> under the bill</w:t>
            </w:r>
            <w:r w:rsidR="003114A4">
              <w:t>.</w:t>
            </w:r>
            <w:r>
              <w:t xml:space="preserve"> </w:t>
            </w:r>
            <w:r w:rsidR="003114A4">
              <w:t xml:space="preserve">The bill </w:t>
            </w:r>
            <w:r>
              <w:t xml:space="preserve">requires the PUC to allow the utility an opportunity to respond to the review and </w:t>
            </w:r>
            <w:r w:rsidR="003114A4">
              <w:t xml:space="preserve">to </w:t>
            </w:r>
            <w:r>
              <w:t xml:space="preserve">make publicly available </w:t>
            </w:r>
            <w:r>
              <w:t>on the PUC website the PUC's review and the utility's response.</w:t>
            </w:r>
          </w:p>
          <w:p w14:paraId="4610FAE0" w14:textId="2A5CD5E2" w:rsidR="004A7F8F" w:rsidRPr="00715AC9" w:rsidRDefault="004A7F8F" w:rsidP="00F3700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</w:tr>
      <w:tr w:rsidR="0065274C" w14:paraId="79373526" w14:textId="77777777" w:rsidTr="00345119">
        <w:tc>
          <w:tcPr>
            <w:tcW w:w="9576" w:type="dxa"/>
          </w:tcPr>
          <w:p w14:paraId="6E86D1FF" w14:textId="77777777" w:rsidR="008423E4" w:rsidRPr="00A8133F" w:rsidRDefault="00174405" w:rsidP="00F3700B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4533257D" w14:textId="77777777" w:rsidR="008423E4" w:rsidRDefault="008423E4" w:rsidP="00F3700B"/>
          <w:p w14:paraId="5631FE02" w14:textId="6FBE0894" w:rsidR="008423E4" w:rsidRPr="003624F2" w:rsidRDefault="00174405" w:rsidP="00F3700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</w:t>
            </w:r>
            <w:r w:rsidR="00FB6C1A">
              <w:t>2</w:t>
            </w:r>
            <w:r w:rsidR="00B8240A">
              <w:t>3.</w:t>
            </w:r>
          </w:p>
          <w:p w14:paraId="56EA6526" w14:textId="77777777" w:rsidR="008423E4" w:rsidRPr="00233FDB" w:rsidRDefault="008423E4" w:rsidP="00F3700B">
            <w:pPr>
              <w:rPr>
                <w:b/>
              </w:rPr>
            </w:pPr>
          </w:p>
        </w:tc>
      </w:tr>
      <w:tr w:rsidR="0065274C" w14:paraId="6D8B3F38" w14:textId="77777777" w:rsidTr="00345119">
        <w:tc>
          <w:tcPr>
            <w:tcW w:w="9576" w:type="dxa"/>
          </w:tcPr>
          <w:p w14:paraId="00FC63BF" w14:textId="41821B4F" w:rsidR="006F3282" w:rsidRPr="005A25C6" w:rsidRDefault="006F3282" w:rsidP="00F3700B">
            <w:pPr>
              <w:jc w:val="both"/>
              <w:rPr>
                <w:b/>
                <w:u w:val="single"/>
              </w:rPr>
            </w:pPr>
          </w:p>
        </w:tc>
      </w:tr>
    </w:tbl>
    <w:p w14:paraId="55FEE48B" w14:textId="77777777" w:rsidR="008423E4" w:rsidRPr="00BE0E75" w:rsidRDefault="008423E4" w:rsidP="00F3700B">
      <w:pPr>
        <w:jc w:val="both"/>
        <w:rPr>
          <w:rFonts w:ascii="Arial" w:hAnsi="Arial"/>
          <w:sz w:val="16"/>
          <w:szCs w:val="16"/>
        </w:rPr>
      </w:pPr>
    </w:p>
    <w:p w14:paraId="2E929E82" w14:textId="77777777" w:rsidR="004108C3" w:rsidRPr="008423E4" w:rsidRDefault="004108C3" w:rsidP="00F3700B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F93D2" w14:textId="77777777" w:rsidR="00000000" w:rsidRDefault="00174405">
      <w:r>
        <w:separator/>
      </w:r>
    </w:p>
  </w:endnote>
  <w:endnote w:type="continuationSeparator" w:id="0">
    <w:p w14:paraId="4EC25A92" w14:textId="77777777" w:rsidR="00000000" w:rsidRDefault="0017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65DD" w14:textId="77777777" w:rsidR="00EC379B" w:rsidRDefault="00EC3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65274C" w14:paraId="7118B549" w14:textId="77777777" w:rsidTr="009C1E9A">
      <w:trPr>
        <w:cantSplit/>
      </w:trPr>
      <w:tc>
        <w:tcPr>
          <w:tcW w:w="0" w:type="pct"/>
        </w:tcPr>
        <w:p w14:paraId="2DAFD3E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D61F9B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42B51042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73D91B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500BD5D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5274C" w14:paraId="4DDBB9B0" w14:textId="77777777" w:rsidTr="009C1E9A">
      <w:trPr>
        <w:cantSplit/>
      </w:trPr>
      <w:tc>
        <w:tcPr>
          <w:tcW w:w="0" w:type="pct"/>
        </w:tcPr>
        <w:p w14:paraId="5BEF933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0EFEC85" w14:textId="375E8815" w:rsidR="00EC379B" w:rsidRPr="009C1E9A" w:rsidRDefault="00174405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31248-D</w:t>
          </w:r>
        </w:p>
      </w:tc>
      <w:tc>
        <w:tcPr>
          <w:tcW w:w="2453" w:type="pct"/>
        </w:tcPr>
        <w:p w14:paraId="5F5152A0" w14:textId="49A6F079" w:rsidR="00EC379B" w:rsidRDefault="0017440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494C1E">
            <w:t>23.139.837</w:t>
          </w:r>
          <w:r>
            <w:fldChar w:fldCharType="end"/>
          </w:r>
        </w:p>
      </w:tc>
    </w:tr>
    <w:tr w:rsidR="0065274C" w14:paraId="74168650" w14:textId="77777777" w:rsidTr="009C1E9A">
      <w:trPr>
        <w:cantSplit/>
      </w:trPr>
      <w:tc>
        <w:tcPr>
          <w:tcW w:w="0" w:type="pct"/>
        </w:tcPr>
        <w:p w14:paraId="016F6E8E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2AF0FA5B" w14:textId="40975410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79C13472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0405F86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5274C" w14:paraId="7AF84167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1F2BAC8A" w14:textId="1A553752" w:rsidR="00EC379B" w:rsidRDefault="00174405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E649C9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  <w:p w14:paraId="6986FF2D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20F20761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60F84" w14:textId="77777777" w:rsidR="00EC379B" w:rsidRDefault="00EC3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5552C" w14:textId="77777777" w:rsidR="00000000" w:rsidRDefault="00174405">
      <w:r>
        <w:separator/>
      </w:r>
    </w:p>
  </w:footnote>
  <w:footnote w:type="continuationSeparator" w:id="0">
    <w:p w14:paraId="34D11226" w14:textId="77777777" w:rsidR="00000000" w:rsidRDefault="00174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E956" w14:textId="77777777" w:rsidR="00EC379B" w:rsidRDefault="00EC37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A24A6" w14:textId="77777777" w:rsidR="00EC379B" w:rsidRDefault="00EC37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4C43D" w14:textId="77777777" w:rsidR="00EC379B" w:rsidRDefault="00EC3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C3C06"/>
    <w:multiLevelType w:val="hybridMultilevel"/>
    <w:tmpl w:val="CBA88D68"/>
    <w:lvl w:ilvl="0" w:tplc="F83A6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88C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81D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FC1B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859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6E0B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08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49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3889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7696B"/>
    <w:multiLevelType w:val="hybridMultilevel"/>
    <w:tmpl w:val="07D4C9D8"/>
    <w:lvl w:ilvl="0" w:tplc="55064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3687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92D2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0D2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23F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C27F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AC0C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693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7CFD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988119">
    <w:abstractNumId w:val="0"/>
  </w:num>
  <w:num w:numId="2" w16cid:durableId="61754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33"/>
    <w:rsid w:val="00000A70"/>
    <w:rsid w:val="00002E41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C3A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47A8B"/>
    <w:rsid w:val="000532BD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02E1"/>
    <w:rsid w:val="000A4893"/>
    <w:rsid w:val="000A54E0"/>
    <w:rsid w:val="000A72C4"/>
    <w:rsid w:val="000B1486"/>
    <w:rsid w:val="000B3E61"/>
    <w:rsid w:val="000B54AF"/>
    <w:rsid w:val="000B6090"/>
    <w:rsid w:val="000B6FEE"/>
    <w:rsid w:val="000C101A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8A2"/>
    <w:rsid w:val="000F2A7F"/>
    <w:rsid w:val="000F3C18"/>
    <w:rsid w:val="000F3DBD"/>
    <w:rsid w:val="000F4298"/>
    <w:rsid w:val="000F5843"/>
    <w:rsid w:val="000F6A06"/>
    <w:rsid w:val="0010154D"/>
    <w:rsid w:val="00102D3F"/>
    <w:rsid w:val="00102EC7"/>
    <w:rsid w:val="0010347D"/>
    <w:rsid w:val="00107F7D"/>
    <w:rsid w:val="00110F8C"/>
    <w:rsid w:val="0011274A"/>
    <w:rsid w:val="00113522"/>
    <w:rsid w:val="0011378D"/>
    <w:rsid w:val="00115EE9"/>
    <w:rsid w:val="001169F9"/>
    <w:rsid w:val="00120797"/>
    <w:rsid w:val="0012371B"/>
    <w:rsid w:val="001245C8"/>
    <w:rsid w:val="001247C5"/>
    <w:rsid w:val="00127893"/>
    <w:rsid w:val="001312BB"/>
    <w:rsid w:val="00137D90"/>
    <w:rsid w:val="00141FB6"/>
    <w:rsid w:val="00142F8E"/>
    <w:rsid w:val="00143C8B"/>
    <w:rsid w:val="0014624E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4405"/>
    <w:rsid w:val="00174C5D"/>
    <w:rsid w:val="0017725B"/>
    <w:rsid w:val="0018050C"/>
    <w:rsid w:val="0018117F"/>
    <w:rsid w:val="001824ED"/>
    <w:rsid w:val="00183262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0F86"/>
    <w:rsid w:val="002116DD"/>
    <w:rsid w:val="0021383D"/>
    <w:rsid w:val="00216BBA"/>
    <w:rsid w:val="00216E12"/>
    <w:rsid w:val="00217466"/>
    <w:rsid w:val="0021751D"/>
    <w:rsid w:val="00217C49"/>
    <w:rsid w:val="0022177D"/>
    <w:rsid w:val="00222BD7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14B5"/>
    <w:rsid w:val="002F3111"/>
    <w:rsid w:val="002F4AEC"/>
    <w:rsid w:val="002F795D"/>
    <w:rsid w:val="00300823"/>
    <w:rsid w:val="00300D7F"/>
    <w:rsid w:val="00301638"/>
    <w:rsid w:val="00303B0C"/>
    <w:rsid w:val="0030459C"/>
    <w:rsid w:val="003114A4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376F6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5A91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37B6"/>
    <w:rsid w:val="003C664C"/>
    <w:rsid w:val="003D726D"/>
    <w:rsid w:val="003E0875"/>
    <w:rsid w:val="003E0BB8"/>
    <w:rsid w:val="003E6CB0"/>
    <w:rsid w:val="003F1F5E"/>
    <w:rsid w:val="003F1F88"/>
    <w:rsid w:val="003F286A"/>
    <w:rsid w:val="003F77F8"/>
    <w:rsid w:val="00400ACD"/>
    <w:rsid w:val="00403B15"/>
    <w:rsid w:val="00403E8A"/>
    <w:rsid w:val="00404061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035"/>
    <w:rsid w:val="00415139"/>
    <w:rsid w:val="004166BB"/>
    <w:rsid w:val="004174CD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5936"/>
    <w:rsid w:val="00455ACE"/>
    <w:rsid w:val="00461568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4C1E"/>
    <w:rsid w:val="0049682B"/>
    <w:rsid w:val="004A03F7"/>
    <w:rsid w:val="004A081C"/>
    <w:rsid w:val="004A123F"/>
    <w:rsid w:val="004A2172"/>
    <w:rsid w:val="004A7F8F"/>
    <w:rsid w:val="004B138F"/>
    <w:rsid w:val="004B412A"/>
    <w:rsid w:val="004B576C"/>
    <w:rsid w:val="004B772A"/>
    <w:rsid w:val="004C0EEE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075C1"/>
    <w:rsid w:val="00510503"/>
    <w:rsid w:val="0051324D"/>
    <w:rsid w:val="00515466"/>
    <w:rsid w:val="005154F7"/>
    <w:rsid w:val="005159DE"/>
    <w:rsid w:val="00525F15"/>
    <w:rsid w:val="005269CE"/>
    <w:rsid w:val="005304B2"/>
    <w:rsid w:val="005336BD"/>
    <w:rsid w:val="005343EE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47EF"/>
    <w:rsid w:val="005851E6"/>
    <w:rsid w:val="005878B7"/>
    <w:rsid w:val="00592C9A"/>
    <w:rsid w:val="00593DF8"/>
    <w:rsid w:val="00595745"/>
    <w:rsid w:val="005A0E18"/>
    <w:rsid w:val="005A12A5"/>
    <w:rsid w:val="005A25C6"/>
    <w:rsid w:val="005A3790"/>
    <w:rsid w:val="005A3CCB"/>
    <w:rsid w:val="005A6D13"/>
    <w:rsid w:val="005B031F"/>
    <w:rsid w:val="005B3298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5274C"/>
    <w:rsid w:val="00662B77"/>
    <w:rsid w:val="00662D0E"/>
    <w:rsid w:val="00663265"/>
    <w:rsid w:val="0066345F"/>
    <w:rsid w:val="006646DF"/>
    <w:rsid w:val="0066485B"/>
    <w:rsid w:val="00664DEF"/>
    <w:rsid w:val="0067036E"/>
    <w:rsid w:val="00671693"/>
    <w:rsid w:val="006757AA"/>
    <w:rsid w:val="0068127E"/>
    <w:rsid w:val="00681790"/>
    <w:rsid w:val="006823AA"/>
    <w:rsid w:val="0068394B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6068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1155"/>
    <w:rsid w:val="006D3005"/>
    <w:rsid w:val="006D504F"/>
    <w:rsid w:val="006D5850"/>
    <w:rsid w:val="006E0CAC"/>
    <w:rsid w:val="006E1CFB"/>
    <w:rsid w:val="006E1F94"/>
    <w:rsid w:val="006E26C1"/>
    <w:rsid w:val="006E30A8"/>
    <w:rsid w:val="006E45B0"/>
    <w:rsid w:val="006E5692"/>
    <w:rsid w:val="006F328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5AC9"/>
    <w:rsid w:val="00717739"/>
    <w:rsid w:val="00717DE4"/>
    <w:rsid w:val="00721724"/>
    <w:rsid w:val="00722EC5"/>
    <w:rsid w:val="00723326"/>
    <w:rsid w:val="00724252"/>
    <w:rsid w:val="007279CF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486B"/>
    <w:rsid w:val="00766E12"/>
    <w:rsid w:val="007671D2"/>
    <w:rsid w:val="0077098E"/>
    <w:rsid w:val="00771287"/>
    <w:rsid w:val="0077149E"/>
    <w:rsid w:val="007727E6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3BF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680A"/>
    <w:rsid w:val="008806EB"/>
    <w:rsid w:val="008826F2"/>
    <w:rsid w:val="008845BA"/>
    <w:rsid w:val="00885203"/>
    <w:rsid w:val="008859CA"/>
    <w:rsid w:val="008861EE"/>
    <w:rsid w:val="00890B59"/>
    <w:rsid w:val="008930D7"/>
    <w:rsid w:val="008947A7"/>
    <w:rsid w:val="008979C2"/>
    <w:rsid w:val="008A04FA"/>
    <w:rsid w:val="008A3188"/>
    <w:rsid w:val="008A3FDF"/>
    <w:rsid w:val="008A6418"/>
    <w:rsid w:val="008B05D8"/>
    <w:rsid w:val="008B0B3D"/>
    <w:rsid w:val="008B2B1A"/>
    <w:rsid w:val="008B3428"/>
    <w:rsid w:val="008B7785"/>
    <w:rsid w:val="008C0809"/>
    <w:rsid w:val="008C132C"/>
    <w:rsid w:val="008C3FD0"/>
    <w:rsid w:val="008D27A5"/>
    <w:rsid w:val="008D2AAB"/>
    <w:rsid w:val="008D309C"/>
    <w:rsid w:val="008D58F9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1F2C"/>
    <w:rsid w:val="009320D2"/>
    <w:rsid w:val="00932C77"/>
    <w:rsid w:val="0093417F"/>
    <w:rsid w:val="00934AC2"/>
    <w:rsid w:val="009375BB"/>
    <w:rsid w:val="009418E9"/>
    <w:rsid w:val="00946044"/>
    <w:rsid w:val="009465AB"/>
    <w:rsid w:val="00946DEE"/>
    <w:rsid w:val="00953499"/>
    <w:rsid w:val="00954A16"/>
    <w:rsid w:val="0095696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2EC3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3766C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344D"/>
    <w:rsid w:val="00A644B8"/>
    <w:rsid w:val="00A70E35"/>
    <w:rsid w:val="00A720DC"/>
    <w:rsid w:val="00A750E6"/>
    <w:rsid w:val="00A75A79"/>
    <w:rsid w:val="00A80091"/>
    <w:rsid w:val="00A803CF"/>
    <w:rsid w:val="00A8133F"/>
    <w:rsid w:val="00A82CB4"/>
    <w:rsid w:val="00A837A8"/>
    <w:rsid w:val="00A83C36"/>
    <w:rsid w:val="00A91D50"/>
    <w:rsid w:val="00A932BB"/>
    <w:rsid w:val="00A93579"/>
    <w:rsid w:val="00A93934"/>
    <w:rsid w:val="00A95D51"/>
    <w:rsid w:val="00AA18AE"/>
    <w:rsid w:val="00AA228B"/>
    <w:rsid w:val="00AA597A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0DE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36A8B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1114"/>
    <w:rsid w:val="00B71A7D"/>
    <w:rsid w:val="00B73BB4"/>
    <w:rsid w:val="00B80532"/>
    <w:rsid w:val="00B82039"/>
    <w:rsid w:val="00B8240A"/>
    <w:rsid w:val="00B82454"/>
    <w:rsid w:val="00B90097"/>
    <w:rsid w:val="00B90999"/>
    <w:rsid w:val="00B91AD7"/>
    <w:rsid w:val="00B92D23"/>
    <w:rsid w:val="00B95BC8"/>
    <w:rsid w:val="00B96E87"/>
    <w:rsid w:val="00B97C74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8E1"/>
    <w:rsid w:val="00BC59CA"/>
    <w:rsid w:val="00BC6462"/>
    <w:rsid w:val="00BD0A32"/>
    <w:rsid w:val="00BD4E55"/>
    <w:rsid w:val="00BD513B"/>
    <w:rsid w:val="00BD5E52"/>
    <w:rsid w:val="00BE0E75"/>
    <w:rsid w:val="00BE1789"/>
    <w:rsid w:val="00BE3634"/>
    <w:rsid w:val="00BE3E30"/>
    <w:rsid w:val="00BE5274"/>
    <w:rsid w:val="00BE69D1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222E"/>
    <w:rsid w:val="00C14EE6"/>
    <w:rsid w:val="00C151DA"/>
    <w:rsid w:val="00C152A1"/>
    <w:rsid w:val="00C16CCB"/>
    <w:rsid w:val="00C2142B"/>
    <w:rsid w:val="00C22987"/>
    <w:rsid w:val="00C23956"/>
    <w:rsid w:val="00C23F8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5898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DC7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D7FD0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910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A754D"/>
    <w:rsid w:val="00DB1E33"/>
    <w:rsid w:val="00DB311F"/>
    <w:rsid w:val="00DB39B1"/>
    <w:rsid w:val="00DB3B03"/>
    <w:rsid w:val="00DB53C6"/>
    <w:rsid w:val="00DB59E3"/>
    <w:rsid w:val="00DB6CB6"/>
    <w:rsid w:val="00DB758F"/>
    <w:rsid w:val="00DC1F1B"/>
    <w:rsid w:val="00DC3D8F"/>
    <w:rsid w:val="00DC42E8"/>
    <w:rsid w:val="00DC6DBB"/>
    <w:rsid w:val="00DD0022"/>
    <w:rsid w:val="00DD073C"/>
    <w:rsid w:val="00DD128C"/>
    <w:rsid w:val="00DD1B8F"/>
    <w:rsid w:val="00DD599C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31CD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1799B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4B67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49C9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6F09"/>
    <w:rsid w:val="00EA7A88"/>
    <w:rsid w:val="00EB27F2"/>
    <w:rsid w:val="00EB3928"/>
    <w:rsid w:val="00EB5373"/>
    <w:rsid w:val="00EC02A2"/>
    <w:rsid w:val="00EC0E36"/>
    <w:rsid w:val="00EC379B"/>
    <w:rsid w:val="00EC37DF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43A2"/>
    <w:rsid w:val="00EE46B7"/>
    <w:rsid w:val="00EE5A49"/>
    <w:rsid w:val="00EE664B"/>
    <w:rsid w:val="00EF10BA"/>
    <w:rsid w:val="00EF1738"/>
    <w:rsid w:val="00EF2BAF"/>
    <w:rsid w:val="00EF3B8F"/>
    <w:rsid w:val="00EF442B"/>
    <w:rsid w:val="00EF543E"/>
    <w:rsid w:val="00EF559F"/>
    <w:rsid w:val="00EF5AA2"/>
    <w:rsid w:val="00EF7E26"/>
    <w:rsid w:val="00F00278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C2"/>
    <w:rsid w:val="00F27573"/>
    <w:rsid w:val="00F31876"/>
    <w:rsid w:val="00F31C67"/>
    <w:rsid w:val="00F36FE0"/>
    <w:rsid w:val="00F3700B"/>
    <w:rsid w:val="00F37EA8"/>
    <w:rsid w:val="00F40B14"/>
    <w:rsid w:val="00F41186"/>
    <w:rsid w:val="00F41EEF"/>
    <w:rsid w:val="00F41FAC"/>
    <w:rsid w:val="00F423D3"/>
    <w:rsid w:val="00F44349"/>
    <w:rsid w:val="00F4569E"/>
    <w:rsid w:val="00F45AFC"/>
    <w:rsid w:val="00F462F4"/>
    <w:rsid w:val="00F50130"/>
    <w:rsid w:val="00F52402"/>
    <w:rsid w:val="00F5605D"/>
    <w:rsid w:val="00F6514B"/>
    <w:rsid w:val="00F6587F"/>
    <w:rsid w:val="00F67981"/>
    <w:rsid w:val="00F706CA"/>
    <w:rsid w:val="00F70F8D"/>
    <w:rsid w:val="00F71C5A"/>
    <w:rsid w:val="00F733A4"/>
    <w:rsid w:val="00F74CC7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A7E49"/>
    <w:rsid w:val="00FB16CD"/>
    <w:rsid w:val="00FB6C1A"/>
    <w:rsid w:val="00FB73AE"/>
    <w:rsid w:val="00FC5388"/>
    <w:rsid w:val="00FC726C"/>
    <w:rsid w:val="00FC79CF"/>
    <w:rsid w:val="00FD1B4B"/>
    <w:rsid w:val="00FD1B94"/>
    <w:rsid w:val="00FD64D8"/>
    <w:rsid w:val="00FE0F77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9266DE-A4D8-4AED-A726-A47F0354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B1E3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B1E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B1E3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1E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1E33"/>
    <w:rPr>
      <w:b/>
      <w:bCs/>
    </w:rPr>
  </w:style>
  <w:style w:type="paragraph" w:styleId="Revision">
    <w:name w:val="Revision"/>
    <w:hidden/>
    <w:uiPriority w:val="99"/>
    <w:semiHidden/>
    <w:rsid w:val="00DA75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3419</Characters>
  <Application>Microsoft Office Word</Application>
  <DocSecurity>4</DocSecurity>
  <Lines>78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SB00853 (Committee Report (Unamended))</vt:lpstr>
    </vt:vector>
  </TitlesOfParts>
  <Company>State of Texas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31248</dc:subject>
  <dc:creator>State of Texas</dc:creator>
  <dc:description>SB 853 by Hancock-(H)State Affairs</dc:description>
  <cp:lastModifiedBy>Damian Duarte</cp:lastModifiedBy>
  <cp:revision>2</cp:revision>
  <cp:lastPrinted>2003-11-26T17:21:00Z</cp:lastPrinted>
  <dcterms:created xsi:type="dcterms:W3CDTF">2023-05-20T18:34:00Z</dcterms:created>
  <dcterms:modified xsi:type="dcterms:W3CDTF">2023-05-20T18:34:00Z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23.139.837</vt:lpwstr>
  </property>
</Properties>
</file>