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B5388" w14:paraId="71E36460" w14:textId="77777777" w:rsidTr="00345119">
        <w:tc>
          <w:tcPr>
            <w:tcW w:w="9576" w:type="dxa"/>
            <w:noWrap/>
          </w:tcPr>
          <w:p w14:paraId="5C5632B0" w14:textId="77777777" w:rsidR="008423E4" w:rsidRPr="0022177D" w:rsidRDefault="001D6865" w:rsidP="00397BB1">
            <w:pPr>
              <w:pStyle w:val="Heading1"/>
            </w:pPr>
            <w:r w:rsidRPr="00631897">
              <w:t>BILL ANALYSIS</w:t>
            </w:r>
          </w:p>
        </w:tc>
      </w:tr>
    </w:tbl>
    <w:p w14:paraId="3B8E99EE" w14:textId="77777777" w:rsidR="008423E4" w:rsidRPr="0022177D" w:rsidRDefault="008423E4" w:rsidP="00397BB1">
      <w:pPr>
        <w:jc w:val="center"/>
      </w:pPr>
    </w:p>
    <w:p w14:paraId="68B41E65" w14:textId="77777777" w:rsidR="008423E4" w:rsidRPr="00B31F0E" w:rsidRDefault="008423E4" w:rsidP="00397BB1"/>
    <w:p w14:paraId="60FEE7D9" w14:textId="77777777" w:rsidR="008423E4" w:rsidRPr="00742794" w:rsidRDefault="008423E4" w:rsidP="00397BB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B5388" w14:paraId="6C322FE4" w14:textId="77777777" w:rsidTr="00345119">
        <w:tc>
          <w:tcPr>
            <w:tcW w:w="9576" w:type="dxa"/>
          </w:tcPr>
          <w:p w14:paraId="2E1163E6" w14:textId="21FE3268" w:rsidR="008423E4" w:rsidRPr="00861995" w:rsidRDefault="001D6865" w:rsidP="00397BB1">
            <w:pPr>
              <w:jc w:val="right"/>
            </w:pPr>
            <w:r>
              <w:t>S.B. 924</w:t>
            </w:r>
          </w:p>
        </w:tc>
      </w:tr>
      <w:tr w:rsidR="002B5388" w14:paraId="092BB302" w14:textId="77777777" w:rsidTr="00345119">
        <w:tc>
          <w:tcPr>
            <w:tcW w:w="9576" w:type="dxa"/>
          </w:tcPr>
          <w:p w14:paraId="5C6426A7" w14:textId="7B45DEFD" w:rsidR="008423E4" w:rsidRPr="00861995" w:rsidRDefault="001D6865" w:rsidP="00397BB1">
            <w:pPr>
              <w:jc w:val="right"/>
            </w:pPr>
            <w:r>
              <w:t xml:space="preserve">By: </w:t>
            </w:r>
            <w:r w:rsidR="008F5A16">
              <w:t>Springer</w:t>
            </w:r>
          </w:p>
        </w:tc>
      </w:tr>
      <w:tr w:rsidR="002B5388" w14:paraId="5E755C62" w14:textId="77777777" w:rsidTr="00345119">
        <w:tc>
          <w:tcPr>
            <w:tcW w:w="9576" w:type="dxa"/>
          </w:tcPr>
          <w:p w14:paraId="6C7EFB23" w14:textId="5D1EC9B1" w:rsidR="008423E4" w:rsidRPr="00861995" w:rsidRDefault="001D6865" w:rsidP="00397BB1">
            <w:pPr>
              <w:jc w:val="right"/>
            </w:pPr>
            <w:r>
              <w:t>Elections</w:t>
            </w:r>
          </w:p>
        </w:tc>
      </w:tr>
      <w:tr w:rsidR="002B5388" w14:paraId="7F296ED6" w14:textId="77777777" w:rsidTr="00345119">
        <w:tc>
          <w:tcPr>
            <w:tcW w:w="9576" w:type="dxa"/>
          </w:tcPr>
          <w:p w14:paraId="57660061" w14:textId="5AD7DE5C" w:rsidR="008423E4" w:rsidRDefault="001D6865" w:rsidP="00397BB1">
            <w:pPr>
              <w:jc w:val="right"/>
            </w:pPr>
            <w:r>
              <w:t>Committee Report (Unamended)</w:t>
            </w:r>
          </w:p>
        </w:tc>
      </w:tr>
    </w:tbl>
    <w:p w14:paraId="738E13A1" w14:textId="77777777" w:rsidR="008423E4" w:rsidRDefault="008423E4" w:rsidP="00397BB1">
      <w:pPr>
        <w:tabs>
          <w:tab w:val="right" w:pos="9360"/>
        </w:tabs>
      </w:pPr>
    </w:p>
    <w:p w14:paraId="2C940C7D" w14:textId="77777777" w:rsidR="008423E4" w:rsidRDefault="008423E4" w:rsidP="00397BB1"/>
    <w:p w14:paraId="46AFDAC5" w14:textId="77777777" w:rsidR="008423E4" w:rsidRDefault="008423E4" w:rsidP="00397BB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B5388" w14:paraId="6512E552" w14:textId="77777777" w:rsidTr="00345119">
        <w:tc>
          <w:tcPr>
            <w:tcW w:w="9576" w:type="dxa"/>
          </w:tcPr>
          <w:p w14:paraId="63689CB8" w14:textId="77777777" w:rsidR="008423E4" w:rsidRPr="00A8133F" w:rsidRDefault="001D6865" w:rsidP="00397BB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F5120ED" w14:textId="77777777" w:rsidR="008423E4" w:rsidRDefault="008423E4" w:rsidP="00397BB1"/>
          <w:p w14:paraId="0D8CDD6D" w14:textId="13BFEAF0" w:rsidR="008423E4" w:rsidRDefault="001D6865" w:rsidP="00397B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Some</w:t>
            </w:r>
            <w:r w:rsidRPr="00E26153">
              <w:t xml:space="preserve"> </w:t>
            </w:r>
            <w:r w:rsidR="00183F0A">
              <w:t xml:space="preserve">county election </w:t>
            </w:r>
            <w:r w:rsidR="00E26153" w:rsidRPr="00E26153">
              <w:t>precincts have no facility within the precinct that can serve as a polling location</w:t>
            </w:r>
            <w:r w:rsidR="00D42C73">
              <w:t>.</w:t>
            </w:r>
            <w:r>
              <w:t xml:space="preserve"> </w:t>
            </w:r>
            <w:r w:rsidRPr="00E51BA7">
              <w:t xml:space="preserve">For example, both the Robson </w:t>
            </w:r>
            <w:r w:rsidRPr="00E51BA7">
              <w:t>Ranch and the Frisco Lakes communities have grown large enough that they have been split into two voting precincts</w:t>
            </w:r>
            <w:r w:rsidR="007653D5">
              <w:t>,</w:t>
            </w:r>
            <w:r w:rsidRPr="00E51BA7">
              <w:t xml:space="preserve"> leaving one precinct without a qualifying facility to serve as a polling location. The residents of these communities would be better served</w:t>
            </w:r>
            <w:r w:rsidRPr="00E51BA7">
              <w:t xml:space="preserve"> if two voting precincts could be combined for election day voting so a qualifying facility may be used as a polling location by residents from both precincts</w:t>
            </w:r>
            <w:r w:rsidR="00E26153" w:rsidRPr="00E26153">
              <w:t>.</w:t>
            </w:r>
            <w:r w:rsidR="00E26153">
              <w:t xml:space="preserve"> </w:t>
            </w:r>
            <w:r w:rsidR="00183F0A">
              <w:t>S.B. 924</w:t>
            </w:r>
            <w:r w:rsidR="0067185A">
              <w:t xml:space="preserve"> </w:t>
            </w:r>
            <w:r w:rsidR="00E26153" w:rsidRPr="00E26153">
              <w:t xml:space="preserve">seeks to remedy this issue by allowing counties with a population of up to 1.2 million to combine two or more county election precincts on the recommendation of the county election board if there is not a facility available </w:t>
            </w:r>
            <w:r w:rsidR="00AA035D">
              <w:t xml:space="preserve">for </w:t>
            </w:r>
            <w:r w:rsidR="00E26153" w:rsidRPr="00E26153">
              <w:t>use as a polling location.</w:t>
            </w:r>
            <w:r w:rsidR="00E26153">
              <w:t xml:space="preserve"> </w:t>
            </w:r>
          </w:p>
          <w:p w14:paraId="238CA140" w14:textId="4A4D2B8F" w:rsidR="00D0238D" w:rsidRPr="00E26B13" w:rsidRDefault="00D0238D" w:rsidP="00397BB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B5388" w14:paraId="6AA0B03E" w14:textId="77777777" w:rsidTr="00345119">
        <w:tc>
          <w:tcPr>
            <w:tcW w:w="9576" w:type="dxa"/>
          </w:tcPr>
          <w:p w14:paraId="20F46929" w14:textId="77777777" w:rsidR="0017725B" w:rsidRDefault="001D6865" w:rsidP="00397B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B7312B9" w14:textId="77777777" w:rsidR="0017725B" w:rsidRDefault="0017725B" w:rsidP="00397BB1">
            <w:pPr>
              <w:rPr>
                <w:b/>
                <w:u w:val="single"/>
              </w:rPr>
            </w:pPr>
          </w:p>
          <w:p w14:paraId="15C5271F" w14:textId="477A860F" w:rsidR="003878EA" w:rsidRPr="003878EA" w:rsidRDefault="001D6865" w:rsidP="00397BB1">
            <w:pPr>
              <w:jc w:val="both"/>
            </w:pPr>
            <w:r>
              <w:t>It is the committee's opinion that this bill does not expres</w:t>
            </w:r>
            <w:r>
              <w:t>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171824E" w14:textId="77777777" w:rsidR="0017725B" w:rsidRPr="0017725B" w:rsidRDefault="0017725B" w:rsidP="00397BB1">
            <w:pPr>
              <w:rPr>
                <w:b/>
                <w:u w:val="single"/>
              </w:rPr>
            </w:pPr>
          </w:p>
        </w:tc>
      </w:tr>
      <w:tr w:rsidR="002B5388" w14:paraId="2D97198E" w14:textId="77777777" w:rsidTr="00345119">
        <w:tc>
          <w:tcPr>
            <w:tcW w:w="9576" w:type="dxa"/>
          </w:tcPr>
          <w:p w14:paraId="3196266C" w14:textId="77777777" w:rsidR="008423E4" w:rsidRPr="00A8133F" w:rsidRDefault="001D6865" w:rsidP="00397BB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84CC64A" w14:textId="77777777" w:rsidR="008423E4" w:rsidRDefault="008423E4" w:rsidP="00397BB1"/>
          <w:p w14:paraId="49822C94" w14:textId="21F4FB71" w:rsidR="003878EA" w:rsidRDefault="001D6865" w:rsidP="00397B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14:paraId="4D82CA48" w14:textId="77777777" w:rsidR="008423E4" w:rsidRPr="00E21FDC" w:rsidRDefault="008423E4" w:rsidP="00397BB1">
            <w:pPr>
              <w:rPr>
                <w:b/>
              </w:rPr>
            </w:pPr>
          </w:p>
        </w:tc>
      </w:tr>
      <w:tr w:rsidR="002B5388" w14:paraId="1D2813BE" w14:textId="77777777" w:rsidTr="00345119">
        <w:tc>
          <w:tcPr>
            <w:tcW w:w="9576" w:type="dxa"/>
          </w:tcPr>
          <w:p w14:paraId="18BC178F" w14:textId="77777777" w:rsidR="008423E4" w:rsidRPr="00A8133F" w:rsidRDefault="001D6865" w:rsidP="00397BB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2E07A8E" w14:textId="77777777" w:rsidR="008423E4" w:rsidRDefault="008423E4" w:rsidP="00397BB1"/>
          <w:p w14:paraId="06E7D262" w14:textId="553CD566" w:rsidR="007309B5" w:rsidRDefault="001D6865" w:rsidP="00397B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924</w:t>
            </w:r>
            <w:r w:rsidR="003878EA">
              <w:t xml:space="preserve"> amends the </w:t>
            </w:r>
            <w:r w:rsidR="003878EA" w:rsidRPr="003878EA">
              <w:t>Election Code</w:t>
            </w:r>
            <w:r w:rsidR="003878EA">
              <w:t xml:space="preserve"> to </w:t>
            </w:r>
            <w:r>
              <w:t xml:space="preserve">revise the procedures for combining county </w:t>
            </w:r>
            <w:r>
              <w:t>election precincts as follows:</w:t>
            </w:r>
          </w:p>
          <w:p w14:paraId="5298C1DD" w14:textId="0A9502F4" w:rsidR="00C4503D" w:rsidRDefault="001D6865" w:rsidP="00397BB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removes </w:t>
            </w:r>
            <w:r w:rsidR="00863678">
              <w:t>the authority of the county commissioners court, for a general or special election, or the county executive committee of a political party conducting a primary election, for a primary election, to combine precincts for the purpose of avoiding unreasonable expenditures for election equipment, supplies, and personnel if</w:t>
            </w:r>
            <w:r>
              <w:t xml:space="preserve"> changes to the precinct boundaries would result in precincts with fewer than 500 registered voters;</w:t>
            </w:r>
          </w:p>
          <w:p w14:paraId="73BD6164" w14:textId="5E70C4B2" w:rsidR="007309B5" w:rsidRDefault="001D6865" w:rsidP="00397BB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repeals the authorization for county election precinc</w:t>
            </w:r>
            <w:r>
              <w:t xml:space="preserve">ts </w:t>
            </w:r>
            <w:r w:rsidRPr="007309B5">
              <w:t>in a county with a population of 250,000 or more</w:t>
            </w:r>
            <w:r>
              <w:t xml:space="preserve"> to be combined </w:t>
            </w:r>
            <w:r w:rsidRPr="007309B5">
              <w:t xml:space="preserve">if </w:t>
            </w:r>
            <w:r w:rsidR="00863678">
              <w:t>such</w:t>
            </w:r>
            <w:r w:rsidRPr="007309B5">
              <w:t xml:space="preserve"> changes result in county election precincts with 500 or more but fewer than 750 registered voters</w:t>
            </w:r>
            <w:r w:rsidR="00FC288C">
              <w:t>;</w:t>
            </w:r>
          </w:p>
          <w:p w14:paraId="79FCF3F3" w14:textId="19D37E34" w:rsidR="00843B8C" w:rsidRDefault="001D6865" w:rsidP="00397BB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restricts the authority to combine precincts to </w:t>
            </w:r>
            <w:r w:rsidR="00F229ED">
              <w:t>a</w:t>
            </w:r>
            <w:r w:rsidR="00863678">
              <w:t xml:space="preserve"> commissioners court of a</w:t>
            </w:r>
            <w:r w:rsidR="00F229ED">
              <w:t xml:space="preserve"> </w:t>
            </w:r>
            <w:r w:rsidR="000B1582" w:rsidRPr="000B1582">
              <w:t>county with a population of less than 1.2 million</w:t>
            </w:r>
            <w:r>
              <w:t xml:space="preserve"> and under the following circumstances:</w:t>
            </w:r>
          </w:p>
          <w:p w14:paraId="00394F86" w14:textId="3E79C61A" w:rsidR="009E0F9F" w:rsidRDefault="001D6865" w:rsidP="00397BB1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in a general election or special election for which use of </w:t>
            </w:r>
            <w:r w:rsidR="00B22C55">
              <w:t xml:space="preserve">county </w:t>
            </w:r>
            <w:r>
              <w:t>election precincts is required</w:t>
            </w:r>
            <w:r w:rsidR="00843B8C">
              <w:t>;</w:t>
            </w:r>
            <w:r w:rsidR="003878EA">
              <w:t xml:space="preserve"> </w:t>
            </w:r>
            <w:r w:rsidR="00863678">
              <w:t>and</w:t>
            </w:r>
          </w:p>
          <w:p w14:paraId="04D36DAE" w14:textId="153AB4EB" w:rsidR="006848AB" w:rsidRDefault="001D6865" w:rsidP="00397BB1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3878EA">
              <w:t xml:space="preserve">on the recommendation of the county election board, </w:t>
            </w:r>
            <w:r w:rsidR="006A4B6D" w:rsidRPr="006A4B6D">
              <w:t xml:space="preserve">if the </w:t>
            </w:r>
            <w:r w:rsidR="00E977F1">
              <w:t xml:space="preserve">commissioners court cannot secure a location in a </w:t>
            </w:r>
            <w:r w:rsidR="00E51BA7">
              <w:t>facility</w:t>
            </w:r>
            <w:r w:rsidR="00E977F1">
              <w:t xml:space="preserve"> for use as a </w:t>
            </w:r>
            <w:r w:rsidR="00A039C6">
              <w:t xml:space="preserve">suitable </w:t>
            </w:r>
            <w:r w:rsidR="00E977F1">
              <w:t xml:space="preserve">polling place and the location of the combined </w:t>
            </w:r>
            <w:r w:rsidR="006A4B6D" w:rsidRPr="006A4B6D">
              <w:t>polling place adequately serve</w:t>
            </w:r>
            <w:r w:rsidR="00E977F1">
              <w:t>s</w:t>
            </w:r>
            <w:r w:rsidR="006A4B6D" w:rsidRPr="006A4B6D">
              <w:t xml:space="preserve"> the voters of the </w:t>
            </w:r>
            <w:r w:rsidR="00E977F1">
              <w:t>combined</w:t>
            </w:r>
            <w:r w:rsidR="00E977F1" w:rsidRPr="006A4B6D">
              <w:t xml:space="preserve"> </w:t>
            </w:r>
            <w:r w:rsidR="006A4B6D" w:rsidRPr="006A4B6D">
              <w:t>precinct</w:t>
            </w:r>
            <w:r>
              <w:t>; and</w:t>
            </w:r>
            <w:r w:rsidR="00E977F1">
              <w:t xml:space="preserve"> </w:t>
            </w:r>
          </w:p>
          <w:p w14:paraId="78CA5680" w14:textId="34D3E951" w:rsidR="009C36CD" w:rsidRDefault="001D6865" w:rsidP="00397BB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raises from 5,000 to 10,000 the </w:t>
            </w:r>
            <w:r w:rsidR="00E977F1">
              <w:t>cap</w:t>
            </w:r>
            <w:r>
              <w:t xml:space="preserve"> on the number of registered voters</w:t>
            </w:r>
            <w:r w:rsidR="00E977F1">
              <w:t xml:space="preserve"> a combined precinct </w:t>
            </w:r>
            <w:r>
              <w:t>may contain</w:t>
            </w:r>
            <w:r w:rsidR="004F32D4">
              <w:t xml:space="preserve">. </w:t>
            </w:r>
          </w:p>
          <w:p w14:paraId="35204EC7" w14:textId="77777777" w:rsidR="00C4503D" w:rsidRPr="009C36CD" w:rsidRDefault="00C4503D" w:rsidP="00397B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A2D2F24" w14:textId="77777777" w:rsidR="003878EA" w:rsidRDefault="001D6865" w:rsidP="00397BB1">
            <w:pPr>
              <w:jc w:val="both"/>
              <w:rPr>
                <w:bCs/>
              </w:rPr>
            </w:pPr>
            <w:r>
              <w:t>S.B. 924</w:t>
            </w:r>
            <w:r>
              <w:rPr>
                <w:bCs/>
              </w:rPr>
              <w:t xml:space="preserve"> </w:t>
            </w:r>
            <w:r w:rsidR="004F32D4">
              <w:rPr>
                <w:bCs/>
              </w:rPr>
              <w:t xml:space="preserve">repeals </w:t>
            </w:r>
            <w:r w:rsidR="004F32D4" w:rsidRPr="004F32D4">
              <w:rPr>
                <w:bCs/>
              </w:rPr>
              <w:t>Section 42.0051(b), Election Code</w:t>
            </w:r>
            <w:r w:rsidR="00C4503D">
              <w:rPr>
                <w:bCs/>
              </w:rPr>
              <w:t>.</w:t>
            </w:r>
            <w:r w:rsidR="004F32D4">
              <w:rPr>
                <w:bCs/>
              </w:rPr>
              <w:t xml:space="preserve"> </w:t>
            </w:r>
          </w:p>
          <w:p w14:paraId="05656032" w14:textId="70175538" w:rsidR="00D0238D" w:rsidRPr="00835628" w:rsidRDefault="00D0238D" w:rsidP="00397BB1">
            <w:pPr>
              <w:jc w:val="both"/>
              <w:rPr>
                <w:b/>
              </w:rPr>
            </w:pPr>
          </w:p>
        </w:tc>
      </w:tr>
      <w:tr w:rsidR="002B5388" w14:paraId="55100B36" w14:textId="77777777" w:rsidTr="00345119">
        <w:tc>
          <w:tcPr>
            <w:tcW w:w="9576" w:type="dxa"/>
          </w:tcPr>
          <w:p w14:paraId="258A0EA1" w14:textId="77777777" w:rsidR="008423E4" w:rsidRPr="00A8133F" w:rsidRDefault="001D6865" w:rsidP="00397BB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C600F94" w14:textId="77777777" w:rsidR="008423E4" w:rsidRDefault="008423E4" w:rsidP="00397BB1"/>
          <w:p w14:paraId="4C42797B" w14:textId="400A3F87" w:rsidR="008423E4" w:rsidRPr="003624F2" w:rsidRDefault="001D6865" w:rsidP="00397B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2D3B3FEC" w14:textId="77777777" w:rsidR="008423E4" w:rsidRPr="00233FDB" w:rsidRDefault="008423E4" w:rsidP="00397BB1">
            <w:pPr>
              <w:rPr>
                <w:b/>
              </w:rPr>
            </w:pPr>
          </w:p>
        </w:tc>
      </w:tr>
    </w:tbl>
    <w:p w14:paraId="638B0596" w14:textId="77777777" w:rsidR="008423E4" w:rsidRPr="00BE0E75" w:rsidRDefault="008423E4" w:rsidP="00397BB1">
      <w:pPr>
        <w:jc w:val="both"/>
        <w:rPr>
          <w:rFonts w:ascii="Arial" w:hAnsi="Arial"/>
          <w:sz w:val="16"/>
          <w:szCs w:val="16"/>
        </w:rPr>
      </w:pPr>
    </w:p>
    <w:p w14:paraId="676225B4" w14:textId="77777777" w:rsidR="004108C3" w:rsidRPr="008423E4" w:rsidRDefault="004108C3" w:rsidP="00397BB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5732" w14:textId="77777777" w:rsidR="00000000" w:rsidRDefault="001D6865">
      <w:r>
        <w:separator/>
      </w:r>
    </w:p>
  </w:endnote>
  <w:endnote w:type="continuationSeparator" w:id="0">
    <w:p w14:paraId="1D65E710" w14:textId="77777777" w:rsidR="00000000" w:rsidRDefault="001D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0E7A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B5388" w14:paraId="18353BD9" w14:textId="77777777" w:rsidTr="009C1E9A">
      <w:trPr>
        <w:cantSplit/>
      </w:trPr>
      <w:tc>
        <w:tcPr>
          <w:tcW w:w="0" w:type="pct"/>
        </w:tcPr>
        <w:p w14:paraId="2442230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8458F5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F98DC5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64ABAD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BEFC3B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5388" w14:paraId="607D4FAE" w14:textId="77777777" w:rsidTr="009C1E9A">
      <w:trPr>
        <w:cantSplit/>
      </w:trPr>
      <w:tc>
        <w:tcPr>
          <w:tcW w:w="0" w:type="pct"/>
        </w:tcPr>
        <w:p w14:paraId="4D45B5E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660DA28" w14:textId="499DD3D3" w:rsidR="00EC379B" w:rsidRPr="009C1E9A" w:rsidRDefault="001D686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30884-D</w:t>
          </w:r>
        </w:p>
      </w:tc>
      <w:tc>
        <w:tcPr>
          <w:tcW w:w="2453" w:type="pct"/>
        </w:tcPr>
        <w:p w14:paraId="4C9DE594" w14:textId="44A4C337" w:rsidR="00EC379B" w:rsidRDefault="001D68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E68C7">
            <w:t>23.136.1336</w:t>
          </w:r>
          <w:r>
            <w:fldChar w:fldCharType="end"/>
          </w:r>
        </w:p>
      </w:tc>
    </w:tr>
    <w:tr w:rsidR="002B5388" w14:paraId="163DAFC3" w14:textId="77777777" w:rsidTr="009C1E9A">
      <w:trPr>
        <w:cantSplit/>
      </w:trPr>
      <w:tc>
        <w:tcPr>
          <w:tcW w:w="0" w:type="pct"/>
        </w:tcPr>
        <w:p w14:paraId="4266BC2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A4CD3E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069ED1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AB8FFE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5388" w14:paraId="0A81EFD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78C8ED3" w14:textId="77777777" w:rsidR="00EC379B" w:rsidRDefault="001D686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6501D5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5DADA2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7122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D9DF" w14:textId="77777777" w:rsidR="00000000" w:rsidRDefault="001D6865">
      <w:r>
        <w:separator/>
      </w:r>
    </w:p>
  </w:footnote>
  <w:footnote w:type="continuationSeparator" w:id="0">
    <w:p w14:paraId="3930A39B" w14:textId="77777777" w:rsidR="00000000" w:rsidRDefault="001D6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DE1A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35FC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68A0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E3288"/>
    <w:multiLevelType w:val="hybridMultilevel"/>
    <w:tmpl w:val="A198E63A"/>
    <w:lvl w:ilvl="0" w:tplc="1F1A7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653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20B1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E5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CFD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A4E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278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82F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5EE7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62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E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4F18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1582"/>
    <w:rsid w:val="000B3E61"/>
    <w:rsid w:val="000B54AF"/>
    <w:rsid w:val="000B6090"/>
    <w:rsid w:val="000B6AE5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5488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2040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3F0A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6865"/>
    <w:rsid w:val="001E1447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4AE1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388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0B3C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8EA"/>
    <w:rsid w:val="00387B60"/>
    <w:rsid w:val="00390098"/>
    <w:rsid w:val="00392DA1"/>
    <w:rsid w:val="00393718"/>
    <w:rsid w:val="00397BB1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4DD9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34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32D4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57D6F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1CFC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68C7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185A"/>
    <w:rsid w:val="006757AA"/>
    <w:rsid w:val="0068127E"/>
    <w:rsid w:val="00681790"/>
    <w:rsid w:val="006823AA"/>
    <w:rsid w:val="0068302A"/>
    <w:rsid w:val="006848AB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4B6D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183F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18"/>
    <w:rsid w:val="006E5692"/>
    <w:rsid w:val="006F365D"/>
    <w:rsid w:val="006F4BB0"/>
    <w:rsid w:val="006F7B0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09B5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53D5"/>
    <w:rsid w:val="00766E12"/>
    <w:rsid w:val="0077098E"/>
    <w:rsid w:val="00770B35"/>
    <w:rsid w:val="00771287"/>
    <w:rsid w:val="0077149E"/>
    <w:rsid w:val="00777518"/>
    <w:rsid w:val="0077779E"/>
    <w:rsid w:val="00777FA4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533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3B8C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3678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16D6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A16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0A5B"/>
    <w:rsid w:val="00915568"/>
    <w:rsid w:val="00917E0C"/>
    <w:rsid w:val="00920711"/>
    <w:rsid w:val="00921A1E"/>
    <w:rsid w:val="00924EA9"/>
    <w:rsid w:val="00925CE1"/>
    <w:rsid w:val="00925F5C"/>
    <w:rsid w:val="00927ED5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7471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0F9F"/>
    <w:rsid w:val="009E13BF"/>
    <w:rsid w:val="009E3631"/>
    <w:rsid w:val="009E3EB9"/>
    <w:rsid w:val="009E425C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9C6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74F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0953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035D"/>
    <w:rsid w:val="00AA18AE"/>
    <w:rsid w:val="00AA228B"/>
    <w:rsid w:val="00AA47AC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02D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2C55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503D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238D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2C73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153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1BA7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77F1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29ED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1431"/>
    <w:rsid w:val="00FA32FC"/>
    <w:rsid w:val="00FA59FD"/>
    <w:rsid w:val="00FA5D8C"/>
    <w:rsid w:val="00FA6403"/>
    <w:rsid w:val="00FB16CD"/>
    <w:rsid w:val="00FB73AE"/>
    <w:rsid w:val="00FC288C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683E39-2186-4E13-9452-0CABEACF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878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7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78E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7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78EA"/>
    <w:rPr>
      <w:b/>
      <w:bCs/>
    </w:rPr>
  </w:style>
  <w:style w:type="paragraph" w:styleId="Revision">
    <w:name w:val="Revision"/>
    <w:hidden/>
    <w:uiPriority w:val="99"/>
    <w:semiHidden/>
    <w:rsid w:val="00770B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2434</Characters>
  <Application>Microsoft Office Word</Application>
  <DocSecurity>4</DocSecurity>
  <Lines>64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SB00924 (Committee Report (Unamended))</vt:lpstr>
    </vt:vector>
  </TitlesOfParts>
  <Company>State of Texas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30884</dc:subject>
  <dc:creator>State of Texas</dc:creator>
  <dc:description>SB 924 by Springer-(H)Elections</dc:description>
  <cp:lastModifiedBy>Damian Duarte</cp:lastModifiedBy>
  <cp:revision>2</cp:revision>
  <cp:lastPrinted>2003-11-26T17:21:00Z</cp:lastPrinted>
  <dcterms:created xsi:type="dcterms:W3CDTF">2023-05-17T20:08:00Z</dcterms:created>
  <dcterms:modified xsi:type="dcterms:W3CDTF">2023-05-17T20:08:00Z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23.136.1336</vt:lpwstr>
  </property>
</Properties>
</file>