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43A26" w14:paraId="190B5660" w14:textId="77777777" w:rsidTr="00345119">
        <w:tc>
          <w:tcPr>
            <w:tcW w:w="9576" w:type="dxa"/>
            <w:noWrap/>
          </w:tcPr>
          <w:p w14:paraId="7195C09E" w14:textId="77777777" w:rsidR="008423E4" w:rsidRPr="0022177D" w:rsidRDefault="00F36211" w:rsidP="00C92B9A">
            <w:pPr>
              <w:pStyle w:val="Heading1"/>
            </w:pPr>
            <w:r w:rsidRPr="00631897">
              <w:t>BILL ANALYSIS</w:t>
            </w:r>
          </w:p>
        </w:tc>
      </w:tr>
    </w:tbl>
    <w:p w14:paraId="62FD66C8" w14:textId="77777777" w:rsidR="008423E4" w:rsidRPr="0022177D" w:rsidRDefault="008423E4" w:rsidP="00C92B9A">
      <w:pPr>
        <w:jc w:val="center"/>
      </w:pPr>
    </w:p>
    <w:p w14:paraId="2E5CF28E" w14:textId="77777777" w:rsidR="008423E4" w:rsidRPr="00B31F0E" w:rsidRDefault="008423E4" w:rsidP="00C92B9A"/>
    <w:p w14:paraId="3ED1FAA4" w14:textId="77777777" w:rsidR="008423E4" w:rsidRPr="00742794" w:rsidRDefault="008423E4" w:rsidP="00C92B9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43A26" w14:paraId="64E556F2" w14:textId="77777777" w:rsidTr="00345119">
        <w:tc>
          <w:tcPr>
            <w:tcW w:w="9576" w:type="dxa"/>
          </w:tcPr>
          <w:p w14:paraId="1889433E" w14:textId="3C66C4D4" w:rsidR="008423E4" w:rsidRPr="00861995" w:rsidRDefault="00F36211" w:rsidP="00C92B9A">
            <w:pPr>
              <w:jc w:val="right"/>
            </w:pPr>
            <w:r>
              <w:t>S.B. 947</w:t>
            </w:r>
          </w:p>
        </w:tc>
      </w:tr>
      <w:tr w:rsidR="00C43A26" w14:paraId="7BCC0B07" w14:textId="77777777" w:rsidTr="00345119">
        <w:tc>
          <w:tcPr>
            <w:tcW w:w="9576" w:type="dxa"/>
          </w:tcPr>
          <w:p w14:paraId="4D456F4F" w14:textId="20B4A0CD" w:rsidR="008423E4" w:rsidRPr="00861995" w:rsidRDefault="00F36211" w:rsidP="00C92B9A">
            <w:pPr>
              <w:jc w:val="right"/>
            </w:pPr>
            <w:r>
              <w:t xml:space="preserve">By: </w:t>
            </w:r>
            <w:r w:rsidR="000D2211">
              <w:t>King</w:t>
            </w:r>
          </w:p>
        </w:tc>
      </w:tr>
      <w:tr w:rsidR="00C43A26" w14:paraId="11179372" w14:textId="77777777" w:rsidTr="00345119">
        <w:tc>
          <w:tcPr>
            <w:tcW w:w="9576" w:type="dxa"/>
          </w:tcPr>
          <w:p w14:paraId="5DD009DF" w14:textId="6FE810B7" w:rsidR="008423E4" w:rsidRPr="00861995" w:rsidRDefault="00F36211" w:rsidP="00C92B9A">
            <w:pPr>
              <w:jc w:val="right"/>
            </w:pPr>
            <w:r>
              <w:t>Criminal Jurisprudence</w:t>
            </w:r>
          </w:p>
        </w:tc>
      </w:tr>
      <w:tr w:rsidR="00C43A26" w14:paraId="60F0AD0B" w14:textId="77777777" w:rsidTr="00345119">
        <w:tc>
          <w:tcPr>
            <w:tcW w:w="9576" w:type="dxa"/>
          </w:tcPr>
          <w:p w14:paraId="50803150" w14:textId="06FF79C0" w:rsidR="008423E4" w:rsidRDefault="00F36211" w:rsidP="00C92B9A">
            <w:pPr>
              <w:jc w:val="right"/>
            </w:pPr>
            <w:r>
              <w:t>Committee Report (Unamended)</w:t>
            </w:r>
          </w:p>
        </w:tc>
      </w:tr>
    </w:tbl>
    <w:p w14:paraId="0C2B56D1" w14:textId="77777777" w:rsidR="008423E4" w:rsidRDefault="008423E4" w:rsidP="00C92B9A">
      <w:pPr>
        <w:tabs>
          <w:tab w:val="right" w:pos="9360"/>
        </w:tabs>
      </w:pPr>
    </w:p>
    <w:p w14:paraId="75AE3EE7" w14:textId="77777777" w:rsidR="008423E4" w:rsidRDefault="008423E4" w:rsidP="00C92B9A"/>
    <w:p w14:paraId="38B01FDA" w14:textId="77777777" w:rsidR="008423E4" w:rsidRDefault="008423E4" w:rsidP="00C92B9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43A26" w14:paraId="0D82F2C7" w14:textId="77777777" w:rsidTr="00345119">
        <w:tc>
          <w:tcPr>
            <w:tcW w:w="9576" w:type="dxa"/>
          </w:tcPr>
          <w:p w14:paraId="57C2B274" w14:textId="77777777" w:rsidR="008423E4" w:rsidRPr="00A8133F" w:rsidRDefault="00F36211" w:rsidP="00C92B9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344F82F" w14:textId="77777777" w:rsidR="008423E4" w:rsidRDefault="008423E4" w:rsidP="00C92B9A"/>
          <w:p w14:paraId="67F2206D" w14:textId="648D902D" w:rsidR="008423E4" w:rsidRDefault="00F36211" w:rsidP="00C92B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91157">
              <w:t xml:space="preserve">Federal and state agencies </w:t>
            </w:r>
            <w:r>
              <w:t xml:space="preserve">have </w:t>
            </w:r>
            <w:r w:rsidRPr="00B91157">
              <w:t>report</w:t>
            </w:r>
            <w:r>
              <w:t>ed</w:t>
            </w:r>
            <w:r w:rsidRPr="00B91157">
              <w:t xml:space="preserve"> that attacks on energy-related infrastructure</w:t>
            </w:r>
            <w:r w:rsidR="009F4B56">
              <w:t>,</w:t>
            </w:r>
            <w:r w:rsidRPr="00B91157">
              <w:t xml:space="preserve"> specifically electric grid infrastructure</w:t>
            </w:r>
            <w:r w:rsidR="009F4B56">
              <w:t xml:space="preserve">, </w:t>
            </w:r>
            <w:r w:rsidRPr="00B91157">
              <w:t xml:space="preserve">are at an all-time high across the country and are expected to continue to rise. As </w:t>
            </w:r>
            <w:r>
              <w:t>was demonstrated</w:t>
            </w:r>
            <w:r w:rsidRPr="00B91157">
              <w:t xml:space="preserve"> during Winter Storm Uri, the security and reliability of the electric power grid </w:t>
            </w:r>
            <w:r>
              <w:t xml:space="preserve">in Texas </w:t>
            </w:r>
            <w:r w:rsidRPr="00B91157">
              <w:t>is of paramount impor</w:t>
            </w:r>
            <w:r w:rsidRPr="00B91157">
              <w:t>tance to the safety and well</w:t>
            </w:r>
            <w:r w:rsidR="00C257C1">
              <w:noBreakHyphen/>
            </w:r>
            <w:r w:rsidRPr="00B91157">
              <w:t xml:space="preserve">being of all Texans. Currently, Texas law does not expressly and specifically penalize intentional or knowing attacks on electric grid infrastructure as </w:t>
            </w:r>
            <w:r w:rsidR="00864C4A">
              <w:t>distinct</w:t>
            </w:r>
            <w:r w:rsidR="00864C4A" w:rsidRPr="00B91157">
              <w:t xml:space="preserve"> </w:t>
            </w:r>
            <w:r w:rsidRPr="00B91157">
              <w:t xml:space="preserve">from other types of criminal mischief. </w:t>
            </w:r>
            <w:r>
              <w:t>Recognizing the importance</w:t>
            </w:r>
            <w:r>
              <w:t xml:space="preserve"> of securing the electric grid, the state</w:t>
            </w:r>
            <w:r w:rsidRPr="00B91157">
              <w:t xml:space="preserve"> need</w:t>
            </w:r>
            <w:r>
              <w:t>s</w:t>
            </w:r>
            <w:r w:rsidRPr="00B91157">
              <w:t xml:space="preserve"> a statute that specifically deals with this threat to send a clear message of deterrence and that provides for severe penalties in the event of a grid attack. S.B. 947 </w:t>
            </w:r>
            <w:r>
              <w:t>seeks</w:t>
            </w:r>
            <w:r w:rsidR="00081A04">
              <w:t xml:space="preserve"> to provide for this by</w:t>
            </w:r>
            <w:r>
              <w:t xml:space="preserve"> creat</w:t>
            </w:r>
            <w:r w:rsidR="00081A04">
              <w:t xml:space="preserve">ing </w:t>
            </w:r>
            <w:r>
              <w:t>th</w:t>
            </w:r>
            <w:r>
              <w:t>e second</w:t>
            </w:r>
            <w:r w:rsidR="00C257C1">
              <w:t>-</w:t>
            </w:r>
            <w:r>
              <w:t>degree felony offense of damaging a critical infrastructure facility</w:t>
            </w:r>
            <w:r w:rsidRPr="00B91157">
              <w:t>.</w:t>
            </w:r>
          </w:p>
          <w:p w14:paraId="4ED2F161" w14:textId="77777777" w:rsidR="008423E4" w:rsidRPr="00E26B13" w:rsidRDefault="008423E4" w:rsidP="00C92B9A">
            <w:pPr>
              <w:rPr>
                <w:b/>
              </w:rPr>
            </w:pPr>
          </w:p>
        </w:tc>
      </w:tr>
      <w:tr w:rsidR="00C43A26" w14:paraId="6622BA0A" w14:textId="77777777" w:rsidTr="00345119">
        <w:tc>
          <w:tcPr>
            <w:tcW w:w="9576" w:type="dxa"/>
          </w:tcPr>
          <w:p w14:paraId="73A87C47" w14:textId="77777777" w:rsidR="0017725B" w:rsidRDefault="00F36211" w:rsidP="00C92B9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1B4B4A5" w14:textId="77777777" w:rsidR="0017725B" w:rsidRDefault="0017725B" w:rsidP="00C92B9A">
            <w:pPr>
              <w:rPr>
                <w:b/>
                <w:u w:val="single"/>
              </w:rPr>
            </w:pPr>
          </w:p>
          <w:p w14:paraId="4C25D3B4" w14:textId="62378983" w:rsidR="000A6E0F" w:rsidRPr="000A6E0F" w:rsidRDefault="00F36211" w:rsidP="00C92B9A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 offenses, or changes the eligibility of a person for community su</w:t>
            </w:r>
            <w:r>
              <w:t>pervision, parole, or mandatory supervision.</w:t>
            </w:r>
          </w:p>
          <w:p w14:paraId="31F3842F" w14:textId="77777777" w:rsidR="0017725B" w:rsidRPr="0017725B" w:rsidRDefault="0017725B" w:rsidP="00C92B9A">
            <w:pPr>
              <w:rPr>
                <w:b/>
                <w:u w:val="single"/>
              </w:rPr>
            </w:pPr>
          </w:p>
        </w:tc>
      </w:tr>
      <w:tr w:rsidR="00C43A26" w14:paraId="5762F02F" w14:textId="77777777" w:rsidTr="00345119">
        <w:tc>
          <w:tcPr>
            <w:tcW w:w="9576" w:type="dxa"/>
          </w:tcPr>
          <w:p w14:paraId="5D480FF6" w14:textId="77777777" w:rsidR="008423E4" w:rsidRPr="00A8133F" w:rsidRDefault="00F36211" w:rsidP="00C92B9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09933A6" w14:textId="77777777" w:rsidR="008423E4" w:rsidRDefault="008423E4" w:rsidP="00C92B9A"/>
          <w:p w14:paraId="13617951" w14:textId="1D77CB61" w:rsidR="000A6E0F" w:rsidRDefault="00F36211" w:rsidP="00C92B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F72EFB6" w14:textId="77777777" w:rsidR="008423E4" w:rsidRPr="00E21FDC" w:rsidRDefault="008423E4" w:rsidP="00C92B9A">
            <w:pPr>
              <w:rPr>
                <w:b/>
              </w:rPr>
            </w:pPr>
          </w:p>
        </w:tc>
      </w:tr>
      <w:tr w:rsidR="00C43A26" w14:paraId="47C2A921" w14:textId="77777777" w:rsidTr="00345119">
        <w:tc>
          <w:tcPr>
            <w:tcW w:w="9576" w:type="dxa"/>
          </w:tcPr>
          <w:p w14:paraId="09A525DA" w14:textId="77777777" w:rsidR="008423E4" w:rsidRPr="00A8133F" w:rsidRDefault="00F36211" w:rsidP="00C92B9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FA9C974" w14:textId="77777777" w:rsidR="008423E4" w:rsidRDefault="008423E4" w:rsidP="00C92B9A"/>
          <w:p w14:paraId="492164C4" w14:textId="40D943DE" w:rsidR="00DB7483" w:rsidRDefault="00F36211" w:rsidP="00C92B9A">
            <w:pPr>
              <w:pStyle w:val="Header"/>
              <w:jc w:val="both"/>
            </w:pPr>
            <w:r>
              <w:t>S.B. 947</w:t>
            </w:r>
            <w:r w:rsidR="006560E1">
              <w:t xml:space="preserve"> amends the Penal Code to </w:t>
            </w:r>
            <w:r w:rsidR="00AE14C8">
              <w:t>create the second</w:t>
            </w:r>
            <w:r w:rsidR="00C257C1">
              <w:t>-</w:t>
            </w:r>
            <w:r w:rsidR="00AE14C8">
              <w:t>degree felony offense</w:t>
            </w:r>
            <w:r w:rsidR="00DD6669">
              <w:t xml:space="preserve"> of damaging a critical infrastructure facility</w:t>
            </w:r>
            <w:r w:rsidR="00AE14C8">
              <w:t xml:space="preserve"> </w:t>
            </w:r>
            <w:r w:rsidR="00DD6669">
              <w:t>for a person who</w:t>
            </w:r>
            <w:r w:rsidR="00AE14C8">
              <w:t xml:space="preserve"> intentionally or knowingly damages, destroys, vandalizes, or impairs the function of any critical infrastructure facility</w:t>
            </w:r>
            <w:r w:rsidR="00AF6EBA">
              <w:t xml:space="preserve"> without the effective consent of the facility's owner or operator and</w:t>
            </w:r>
            <w:r w:rsidR="00AE14C8">
              <w:t xml:space="preserve"> </w:t>
            </w:r>
            <w:r w:rsidR="00DD6669">
              <w:t xml:space="preserve">in </w:t>
            </w:r>
            <w:r w:rsidR="00AF6EBA">
              <w:t>a manner that causes</w:t>
            </w:r>
            <w:r w:rsidR="00AE14C8">
              <w:t xml:space="preserve"> an extended power outage</w:t>
            </w:r>
            <w:r w:rsidR="00DD6669">
              <w:t xml:space="preserve"> lasting for </w:t>
            </w:r>
            <w:r w:rsidR="00D16DD0">
              <w:t xml:space="preserve">two hours or </w:t>
            </w:r>
            <w:r w:rsidR="00DD6669">
              <w:t xml:space="preserve">more </w:t>
            </w:r>
            <w:r w:rsidR="00D16DD0">
              <w:t>or affecting 1,000 or more meters used to measure electric energy consumption by retail customers</w:t>
            </w:r>
            <w:r w:rsidR="00AE14C8">
              <w:t>. The bill enhances the penalty for the offense to a first</w:t>
            </w:r>
            <w:r w:rsidR="002D1D23">
              <w:t>-</w:t>
            </w:r>
            <w:r w:rsidR="00AE14C8">
              <w:t xml:space="preserve">degree felony if the amount of pecuniary damage to the facility is $100,000 or more or </w:t>
            </w:r>
            <w:r w:rsidR="00AF6EBA">
              <w:t xml:space="preserve">if </w:t>
            </w:r>
            <w:r w:rsidR="00AE14C8">
              <w:t>the actor uses a firearm</w:t>
            </w:r>
            <w:r>
              <w:t>, drone, cyber attack,</w:t>
            </w:r>
            <w:r w:rsidR="00AE14C8">
              <w:t xml:space="preserve"> or explosive weapon in the commission of the offense.</w:t>
            </w:r>
            <w:r w:rsidR="009B10E4">
              <w:t xml:space="preserve"> If </w:t>
            </w:r>
            <w:r w:rsidR="009B10E4" w:rsidRPr="009B10E4">
              <w:t xml:space="preserve">conduct that constitutes </w:t>
            </w:r>
            <w:r w:rsidR="00DD6669">
              <w:t>this</w:t>
            </w:r>
            <w:r w:rsidR="00DD6669" w:rsidRPr="009B10E4">
              <w:t xml:space="preserve"> </w:t>
            </w:r>
            <w:r w:rsidR="009B10E4" w:rsidRPr="009B10E4">
              <w:t>offense</w:t>
            </w:r>
            <w:r w:rsidR="009B10E4">
              <w:t xml:space="preserve"> also constitutes another offense, the actor may be prosecuted </w:t>
            </w:r>
            <w:r w:rsidR="00DD6669">
              <w:t xml:space="preserve">for either </w:t>
            </w:r>
            <w:r w:rsidR="009B10E4">
              <w:t>or both</w:t>
            </w:r>
            <w:r w:rsidR="00DD6669">
              <w:t xml:space="preserve"> offenses</w:t>
            </w:r>
            <w:r w:rsidR="009B10E4">
              <w:t>.</w:t>
            </w:r>
            <w:r w:rsidR="00DD6669">
              <w:t xml:space="preserve"> For purposes of this offense,</w:t>
            </w:r>
            <w:r>
              <w:t xml:space="preserve"> the bill </w:t>
            </w:r>
            <w:r w:rsidR="00541DF8">
              <w:t xml:space="preserve">defines "explosive weapon" and "firearm" by reference to Penal Code provisions relating to criminal mischief and to weapons offenses, respectively, and </w:t>
            </w:r>
            <w:r>
              <w:t xml:space="preserve">defines the following </w:t>
            </w:r>
            <w:r w:rsidR="00D16DD0">
              <w:t>terms</w:t>
            </w:r>
            <w:r>
              <w:t>:</w:t>
            </w:r>
          </w:p>
          <w:p w14:paraId="2E4325D6" w14:textId="6C51AE4F" w:rsidR="00DB7483" w:rsidRDefault="00F36211" w:rsidP="00C92B9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"critical infrastructure facility" as</w:t>
            </w:r>
            <w:r w:rsidRPr="00DD6669">
              <w:t xml:space="preserve"> an electrical power generating facility, substation, switching station, electrical control center, or electrical transmission or distribution facility</w:t>
            </w:r>
            <w:r>
              <w:t xml:space="preserve">; </w:t>
            </w:r>
          </w:p>
          <w:p w14:paraId="4FA235E4" w14:textId="4C23E799" w:rsidR="009C36CD" w:rsidRDefault="00F36211" w:rsidP="00C92B9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"c</w:t>
            </w:r>
            <w:r w:rsidRPr="00DB7483">
              <w:t xml:space="preserve">yber attack" </w:t>
            </w:r>
            <w:r>
              <w:t>as</w:t>
            </w:r>
            <w:r w:rsidRPr="00DB7483">
              <w:t xml:space="preserve"> an attempt to damage, disrupt, or gain unauthorized access to a computer, computer n</w:t>
            </w:r>
            <w:r w:rsidRPr="00DB7483">
              <w:t>etwork, or computer system</w:t>
            </w:r>
            <w:r>
              <w:t>;</w:t>
            </w:r>
            <w:r w:rsidR="00541DF8">
              <w:t xml:space="preserve"> and</w:t>
            </w:r>
          </w:p>
          <w:p w14:paraId="538B0526" w14:textId="10B7BD12" w:rsidR="00DB7483" w:rsidRDefault="00F36211" w:rsidP="00C92B9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"drone" as an unmanned aircraft, watercraft, or ground vehicle or a robotic device that is controlled remotely by a human operator or operates autonomously through computer software or other programming.</w:t>
            </w:r>
          </w:p>
          <w:p w14:paraId="7F4DEAB4" w14:textId="6B3207F4" w:rsidR="009B10E4" w:rsidRDefault="009B10E4" w:rsidP="00C92B9A">
            <w:pPr>
              <w:pStyle w:val="Header"/>
              <w:jc w:val="both"/>
            </w:pPr>
          </w:p>
          <w:p w14:paraId="166EE9E1" w14:textId="2138CFE5" w:rsidR="00DD6669" w:rsidRDefault="00F36211" w:rsidP="00C92B9A">
            <w:pPr>
              <w:pStyle w:val="Header"/>
              <w:jc w:val="both"/>
            </w:pPr>
            <w:r>
              <w:t>S.B. 947</w:t>
            </w:r>
            <w:r w:rsidR="009B10E4">
              <w:t xml:space="preserve"> enhances the penalty for manslaughter from a second</w:t>
            </w:r>
            <w:r w:rsidR="002D1D23">
              <w:t>-</w:t>
            </w:r>
            <w:r w:rsidR="009B10E4">
              <w:t>degree felony to a fir</w:t>
            </w:r>
            <w:r>
              <w:t>st</w:t>
            </w:r>
            <w:r w:rsidR="002D1D23">
              <w:t>-</w:t>
            </w:r>
            <w:r w:rsidR="009B10E4">
              <w:t xml:space="preserve">degree felony if </w:t>
            </w:r>
            <w:r w:rsidR="009B10E4" w:rsidRPr="009B10E4">
              <w:t>it is shown on the trial of the offense that the defendant committed</w:t>
            </w:r>
            <w:r w:rsidR="009B10E4">
              <w:t xml:space="preserve"> </w:t>
            </w:r>
            <w:r>
              <w:t xml:space="preserve">the </w:t>
            </w:r>
            <w:r w:rsidR="009B10E4">
              <w:t xml:space="preserve">offense </w:t>
            </w:r>
            <w:r>
              <w:t xml:space="preserve">of damaging </w:t>
            </w:r>
            <w:r w:rsidR="009B10E4">
              <w:t xml:space="preserve">a critical infrastructure facility and that conduct caused the death of an individual. </w:t>
            </w:r>
          </w:p>
          <w:p w14:paraId="37BF5F31" w14:textId="77777777" w:rsidR="00DD6669" w:rsidRDefault="00DD6669" w:rsidP="00C92B9A">
            <w:pPr>
              <w:pStyle w:val="Header"/>
              <w:jc w:val="both"/>
            </w:pPr>
          </w:p>
          <w:p w14:paraId="7968128C" w14:textId="22BAD8AB" w:rsidR="009B10E4" w:rsidRPr="009C36CD" w:rsidRDefault="00F36211" w:rsidP="00C92B9A">
            <w:pPr>
              <w:pStyle w:val="Header"/>
              <w:jc w:val="both"/>
            </w:pPr>
            <w:r>
              <w:t xml:space="preserve">S.B. 947 applies only to an offense </w:t>
            </w:r>
            <w:r w:rsidR="000A6E0F" w:rsidRPr="000A6E0F">
              <w:t xml:space="preserve">committed on or after the </w:t>
            </w:r>
            <w:r w:rsidR="000A6E0F">
              <w:t xml:space="preserve">bill's </w:t>
            </w:r>
            <w:r w:rsidR="000A6E0F" w:rsidRPr="000A6E0F">
              <w:t>effective</w:t>
            </w:r>
            <w:r>
              <w:t xml:space="preserve"> date</w:t>
            </w:r>
            <w:r w:rsidR="00B91157">
              <w:t>. The bill provides for the continuation of the law in effect before the bill's effective date for purposes of an offense, or any element thereof, that occurred before that date.</w:t>
            </w:r>
          </w:p>
          <w:p w14:paraId="1CFA4200" w14:textId="77777777" w:rsidR="008423E4" w:rsidRPr="00835628" w:rsidRDefault="008423E4" w:rsidP="00C92B9A">
            <w:pPr>
              <w:rPr>
                <w:b/>
              </w:rPr>
            </w:pPr>
          </w:p>
        </w:tc>
      </w:tr>
      <w:tr w:rsidR="00C43A26" w14:paraId="3FBCFE60" w14:textId="77777777" w:rsidTr="00345119">
        <w:tc>
          <w:tcPr>
            <w:tcW w:w="9576" w:type="dxa"/>
          </w:tcPr>
          <w:p w14:paraId="11DF3A7F" w14:textId="77777777" w:rsidR="008423E4" w:rsidRPr="00A8133F" w:rsidRDefault="00F36211" w:rsidP="00C92B9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BD3D601" w14:textId="77777777" w:rsidR="008423E4" w:rsidRDefault="008423E4" w:rsidP="00C92B9A"/>
          <w:p w14:paraId="48C5C339" w14:textId="07A360BA" w:rsidR="008423E4" w:rsidRPr="003624F2" w:rsidRDefault="00F36211" w:rsidP="00C92B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5DF39E5" w14:textId="77777777" w:rsidR="008423E4" w:rsidRPr="00233FDB" w:rsidRDefault="008423E4" w:rsidP="00C92B9A">
            <w:pPr>
              <w:rPr>
                <w:b/>
              </w:rPr>
            </w:pPr>
          </w:p>
        </w:tc>
      </w:tr>
    </w:tbl>
    <w:p w14:paraId="50779033" w14:textId="77777777" w:rsidR="008423E4" w:rsidRPr="00BE0E75" w:rsidRDefault="008423E4" w:rsidP="00C92B9A">
      <w:pPr>
        <w:jc w:val="both"/>
        <w:rPr>
          <w:rFonts w:ascii="Arial" w:hAnsi="Arial"/>
          <w:sz w:val="16"/>
          <w:szCs w:val="16"/>
        </w:rPr>
      </w:pPr>
    </w:p>
    <w:p w14:paraId="15E3E0E0" w14:textId="77777777" w:rsidR="004108C3" w:rsidRPr="008423E4" w:rsidRDefault="004108C3" w:rsidP="00C92B9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9BE8" w14:textId="77777777" w:rsidR="00000000" w:rsidRDefault="00F36211">
      <w:r>
        <w:separator/>
      </w:r>
    </w:p>
  </w:endnote>
  <w:endnote w:type="continuationSeparator" w:id="0">
    <w:p w14:paraId="6F9F00FB" w14:textId="77777777" w:rsidR="00000000" w:rsidRDefault="00F3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B01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43A26" w14:paraId="3B9D0A7E" w14:textId="77777777" w:rsidTr="009C1E9A">
      <w:trPr>
        <w:cantSplit/>
      </w:trPr>
      <w:tc>
        <w:tcPr>
          <w:tcW w:w="0" w:type="pct"/>
        </w:tcPr>
        <w:p w14:paraId="24DA076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5A3F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46BA3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46347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FBF5E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3A26" w14:paraId="7E3F0309" w14:textId="77777777" w:rsidTr="009C1E9A">
      <w:trPr>
        <w:cantSplit/>
      </w:trPr>
      <w:tc>
        <w:tcPr>
          <w:tcW w:w="0" w:type="pct"/>
        </w:tcPr>
        <w:p w14:paraId="12A867B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A0303F" w14:textId="7EADC061" w:rsidR="00EC379B" w:rsidRPr="009C1E9A" w:rsidRDefault="00F3621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30317-D</w:t>
          </w:r>
        </w:p>
      </w:tc>
      <w:tc>
        <w:tcPr>
          <w:tcW w:w="2453" w:type="pct"/>
        </w:tcPr>
        <w:p w14:paraId="5967CD62" w14:textId="1EAC09F1" w:rsidR="00EC379B" w:rsidRDefault="00F3621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92B9A">
            <w:t>23.133.105</w:t>
          </w:r>
          <w:r>
            <w:fldChar w:fldCharType="end"/>
          </w:r>
        </w:p>
      </w:tc>
    </w:tr>
    <w:tr w:rsidR="00C43A26" w14:paraId="271AAB18" w14:textId="77777777" w:rsidTr="009C1E9A">
      <w:trPr>
        <w:cantSplit/>
      </w:trPr>
      <w:tc>
        <w:tcPr>
          <w:tcW w:w="0" w:type="pct"/>
        </w:tcPr>
        <w:p w14:paraId="526479B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39D33D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0DBD12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BF452D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3A26" w14:paraId="4FA2531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52278E8" w14:textId="77777777" w:rsidR="00EC379B" w:rsidRDefault="00F3621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685372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15BB8A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036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71E28" w14:textId="77777777" w:rsidR="00000000" w:rsidRDefault="00F36211">
      <w:r>
        <w:separator/>
      </w:r>
    </w:p>
  </w:footnote>
  <w:footnote w:type="continuationSeparator" w:id="0">
    <w:p w14:paraId="18E6A235" w14:textId="77777777" w:rsidR="00000000" w:rsidRDefault="00F36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8FB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26A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BE2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D5487"/>
    <w:multiLevelType w:val="hybridMultilevel"/>
    <w:tmpl w:val="3214707C"/>
    <w:lvl w:ilvl="0" w:tplc="E0CEE7C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4DC271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90ED94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ADEF49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C94220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38CC89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3A0BF0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CDEB1E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8D66EF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8960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E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1A04"/>
    <w:rsid w:val="00090E6B"/>
    <w:rsid w:val="00091B2C"/>
    <w:rsid w:val="00092ABC"/>
    <w:rsid w:val="00097AAF"/>
    <w:rsid w:val="00097D13"/>
    <w:rsid w:val="000A4893"/>
    <w:rsid w:val="000A54E0"/>
    <w:rsid w:val="000A6E0F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211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7ADE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73AB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5C8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D23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5489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31"/>
    <w:rsid w:val="00534A49"/>
    <w:rsid w:val="005363BB"/>
    <w:rsid w:val="00541B98"/>
    <w:rsid w:val="00541DF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60E1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7A1"/>
    <w:rsid w:val="006F365D"/>
    <w:rsid w:val="006F4BB0"/>
    <w:rsid w:val="006F4C32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2C4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4C4A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75B3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7EA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0E4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B56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09AB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14C8"/>
    <w:rsid w:val="00AE2263"/>
    <w:rsid w:val="00AE248E"/>
    <w:rsid w:val="00AE2D12"/>
    <w:rsid w:val="00AE2F06"/>
    <w:rsid w:val="00AE4F1C"/>
    <w:rsid w:val="00AF1433"/>
    <w:rsid w:val="00AF48B4"/>
    <w:rsid w:val="00AF4923"/>
    <w:rsid w:val="00AF6EBA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157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7C1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A26"/>
    <w:rsid w:val="00C4588F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B9A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DD0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11E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483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669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AF2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75A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211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D4B16B-884B-42C0-AC2A-A85E81CB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E14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14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14C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1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14C8"/>
    <w:rPr>
      <w:b/>
      <w:bCs/>
    </w:rPr>
  </w:style>
  <w:style w:type="paragraph" w:styleId="Revision">
    <w:name w:val="Revision"/>
    <w:hidden/>
    <w:uiPriority w:val="99"/>
    <w:semiHidden/>
    <w:rsid w:val="00AF6EBA"/>
    <w:rPr>
      <w:sz w:val="24"/>
      <w:szCs w:val="24"/>
    </w:rPr>
  </w:style>
  <w:style w:type="character" w:styleId="Hyperlink">
    <w:name w:val="Hyperlink"/>
    <w:basedOn w:val="DefaultParagraphFont"/>
    <w:unhideWhenUsed/>
    <w:rsid w:val="00C257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3201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SB00947 (Committee Report (Unamended))</vt:lpstr>
    </vt:vector>
  </TitlesOfParts>
  <Company>State of Texas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30317</dc:subject>
  <dc:creator>State of Texas</dc:creator>
  <dc:description>SB 947 by King-(H)Criminal Jurisprudence</dc:description>
  <cp:lastModifiedBy>Damian Duarte</cp:lastModifiedBy>
  <cp:revision>2</cp:revision>
  <cp:lastPrinted>2003-11-26T17:21:00Z</cp:lastPrinted>
  <dcterms:created xsi:type="dcterms:W3CDTF">2023-05-19T15:44:00Z</dcterms:created>
  <dcterms:modified xsi:type="dcterms:W3CDTF">2023-05-19T15:44:00Z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23.133.105</vt:lpwstr>
  </property>
</Properties>
</file>