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60CC8" w14:paraId="4501F42E" w14:textId="77777777" w:rsidTr="00345119">
        <w:tc>
          <w:tcPr>
            <w:tcW w:w="9576" w:type="dxa"/>
            <w:noWrap/>
          </w:tcPr>
          <w:p w14:paraId="4A51F3C7" w14:textId="77777777" w:rsidR="008423E4" w:rsidRPr="0022177D" w:rsidRDefault="002470CE" w:rsidP="00132C1B">
            <w:pPr>
              <w:pStyle w:val="Heading1"/>
            </w:pPr>
            <w:r w:rsidRPr="00631897">
              <w:t>BILL ANALYSIS</w:t>
            </w:r>
          </w:p>
        </w:tc>
      </w:tr>
    </w:tbl>
    <w:p w14:paraId="77016F36" w14:textId="77777777" w:rsidR="008423E4" w:rsidRPr="0022177D" w:rsidRDefault="008423E4" w:rsidP="00132C1B">
      <w:pPr>
        <w:jc w:val="center"/>
      </w:pPr>
    </w:p>
    <w:p w14:paraId="0D14570B" w14:textId="77777777" w:rsidR="008423E4" w:rsidRPr="00B31F0E" w:rsidRDefault="008423E4" w:rsidP="00132C1B"/>
    <w:p w14:paraId="605BEE2D" w14:textId="77777777" w:rsidR="008423E4" w:rsidRPr="00742794" w:rsidRDefault="008423E4" w:rsidP="00132C1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0CC8" w14:paraId="75B1160F" w14:textId="77777777" w:rsidTr="00345119">
        <w:tc>
          <w:tcPr>
            <w:tcW w:w="9576" w:type="dxa"/>
          </w:tcPr>
          <w:p w14:paraId="41CD227E" w14:textId="2A843B06" w:rsidR="008423E4" w:rsidRPr="00861995" w:rsidRDefault="002470CE" w:rsidP="00132C1B">
            <w:pPr>
              <w:jc w:val="right"/>
            </w:pPr>
            <w:r>
              <w:t>C.S.S.B. 958</w:t>
            </w:r>
          </w:p>
        </w:tc>
      </w:tr>
      <w:tr w:rsidR="00860CC8" w14:paraId="419CE97D" w14:textId="77777777" w:rsidTr="00345119">
        <w:tc>
          <w:tcPr>
            <w:tcW w:w="9576" w:type="dxa"/>
          </w:tcPr>
          <w:p w14:paraId="25A838EF" w14:textId="4542A63D" w:rsidR="008423E4" w:rsidRPr="00861995" w:rsidRDefault="002470CE" w:rsidP="00132C1B">
            <w:pPr>
              <w:jc w:val="right"/>
            </w:pPr>
            <w:r>
              <w:t xml:space="preserve">By: </w:t>
            </w:r>
            <w:r w:rsidR="000D22C7">
              <w:t>Campbell</w:t>
            </w:r>
          </w:p>
        </w:tc>
      </w:tr>
      <w:tr w:rsidR="00860CC8" w14:paraId="577E2B16" w14:textId="77777777" w:rsidTr="00345119">
        <w:tc>
          <w:tcPr>
            <w:tcW w:w="9576" w:type="dxa"/>
          </w:tcPr>
          <w:p w14:paraId="3BB630E2" w14:textId="3A36CA32" w:rsidR="008423E4" w:rsidRPr="00861995" w:rsidRDefault="002470CE" w:rsidP="00132C1B">
            <w:pPr>
              <w:jc w:val="right"/>
            </w:pPr>
            <w:r>
              <w:t>State Affairs</w:t>
            </w:r>
          </w:p>
        </w:tc>
      </w:tr>
      <w:tr w:rsidR="00860CC8" w14:paraId="44BB3581" w14:textId="77777777" w:rsidTr="00345119">
        <w:tc>
          <w:tcPr>
            <w:tcW w:w="9576" w:type="dxa"/>
          </w:tcPr>
          <w:p w14:paraId="1E47D4CB" w14:textId="3A314D7F" w:rsidR="008423E4" w:rsidRDefault="002470CE" w:rsidP="00132C1B">
            <w:pPr>
              <w:jc w:val="right"/>
            </w:pPr>
            <w:r>
              <w:t>Committee Report (Substituted)</w:t>
            </w:r>
          </w:p>
        </w:tc>
      </w:tr>
    </w:tbl>
    <w:p w14:paraId="5D0073D2" w14:textId="77777777" w:rsidR="008423E4" w:rsidRDefault="008423E4" w:rsidP="00132C1B">
      <w:pPr>
        <w:tabs>
          <w:tab w:val="right" w:pos="9360"/>
        </w:tabs>
      </w:pPr>
    </w:p>
    <w:p w14:paraId="756836F2" w14:textId="77777777" w:rsidR="008423E4" w:rsidRDefault="008423E4" w:rsidP="00132C1B"/>
    <w:p w14:paraId="3A10E530" w14:textId="77777777" w:rsidR="008423E4" w:rsidRDefault="008423E4" w:rsidP="00132C1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60CC8" w14:paraId="6BD009F1" w14:textId="77777777" w:rsidTr="00245ADA">
        <w:tc>
          <w:tcPr>
            <w:tcW w:w="9360" w:type="dxa"/>
          </w:tcPr>
          <w:p w14:paraId="35354545" w14:textId="77777777" w:rsidR="008423E4" w:rsidRPr="00A8133F" w:rsidRDefault="002470CE" w:rsidP="00132C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AF31F2" w14:textId="77777777" w:rsidR="008423E4" w:rsidRDefault="008423E4" w:rsidP="00132C1B"/>
          <w:p w14:paraId="771BEE7F" w14:textId="728C3A64" w:rsidR="008423E4" w:rsidRDefault="002470CE" w:rsidP="00132C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B2A0F">
              <w:t>The right for nonprofit</w:t>
            </w:r>
            <w:r w:rsidR="00EE646A">
              <w:t xml:space="preserve"> organizations</w:t>
            </w:r>
            <w:r w:rsidRPr="005B2A0F">
              <w:t xml:space="preserve"> to keep their donor lists private was settled in </w:t>
            </w:r>
            <w:r w:rsidRPr="00EE646A">
              <w:rPr>
                <w:i/>
                <w:iCs/>
              </w:rPr>
              <w:t xml:space="preserve">National Association of Advancement of Colored People (NAACP) v. Alabama </w:t>
            </w:r>
            <w:r w:rsidRPr="005B2A0F">
              <w:t xml:space="preserve">in 1958, when the NAACP sued </w:t>
            </w:r>
            <w:r w:rsidR="00EE646A">
              <w:t xml:space="preserve">the State of </w:t>
            </w:r>
            <w:r w:rsidRPr="005B2A0F">
              <w:t>Alabama over examples of "intimidation" that their members faced during the Civil Rights Er</w:t>
            </w:r>
            <w:r w:rsidRPr="005B2A0F">
              <w:t>a.</w:t>
            </w:r>
            <w:r w:rsidR="00EE646A">
              <w:t xml:space="preserve"> T</w:t>
            </w:r>
            <w:r w:rsidRPr="005B2A0F">
              <w:t xml:space="preserve">his same issue was brought before the U.S. Supreme Court again in 2021 </w:t>
            </w:r>
            <w:r w:rsidR="00EE646A">
              <w:t>in</w:t>
            </w:r>
            <w:r w:rsidR="00EE646A" w:rsidRPr="005B2A0F">
              <w:t xml:space="preserve"> </w:t>
            </w:r>
            <w:r w:rsidRPr="005B2A0F">
              <w:t xml:space="preserve">the </w:t>
            </w:r>
            <w:r w:rsidR="00EE646A">
              <w:t xml:space="preserve">case </w:t>
            </w:r>
            <w:r w:rsidRPr="00EE646A">
              <w:rPr>
                <w:i/>
                <w:iCs/>
              </w:rPr>
              <w:t>Americans for Prosperity</w:t>
            </w:r>
            <w:r w:rsidR="00EE646A">
              <w:rPr>
                <w:i/>
                <w:iCs/>
              </w:rPr>
              <w:t xml:space="preserve"> Foundation</w:t>
            </w:r>
            <w:r w:rsidRPr="00EE646A">
              <w:rPr>
                <w:i/>
                <w:iCs/>
              </w:rPr>
              <w:t xml:space="preserve"> v. Bonta</w:t>
            </w:r>
            <w:r w:rsidRPr="005B2A0F">
              <w:t xml:space="preserve">. The </w:t>
            </w:r>
            <w:r w:rsidR="004626E8">
              <w:t>c</w:t>
            </w:r>
            <w:r w:rsidR="004626E8" w:rsidRPr="005B2A0F">
              <w:t xml:space="preserve">ourt </w:t>
            </w:r>
            <w:r w:rsidRPr="005B2A0F">
              <w:t xml:space="preserve">ruled in favor of Americans for Prosperity, </w:t>
            </w:r>
            <w:r w:rsidR="00EE646A">
              <w:t xml:space="preserve">thus </w:t>
            </w:r>
            <w:r w:rsidRPr="005B2A0F">
              <w:t>allowing them to keep their donor's list confidential. Legislati</w:t>
            </w:r>
            <w:r w:rsidRPr="005B2A0F">
              <w:t>on is needed to clear up confusion regarding</w:t>
            </w:r>
            <w:r w:rsidR="00EE646A">
              <w:t xml:space="preserve"> state</w:t>
            </w:r>
            <w:r w:rsidRPr="005B2A0F">
              <w:t xml:space="preserve"> disclosure laws </w:t>
            </w:r>
            <w:r w:rsidR="00EE646A">
              <w:t>as they apply to</w:t>
            </w:r>
            <w:r w:rsidR="00EE646A" w:rsidRPr="005B2A0F">
              <w:t xml:space="preserve"> </w:t>
            </w:r>
            <w:r w:rsidRPr="005B2A0F">
              <w:t>nonprofit</w:t>
            </w:r>
            <w:r w:rsidR="00EE646A">
              <w:t xml:space="preserve"> organizations.</w:t>
            </w:r>
            <w:r w:rsidRPr="005B2A0F">
              <w:t xml:space="preserve"> </w:t>
            </w:r>
            <w:r w:rsidR="00EE646A">
              <w:t>C.S.S.B. 958 seeks to</w:t>
            </w:r>
            <w:r w:rsidRPr="005B2A0F">
              <w:t xml:space="preserve"> secur</w:t>
            </w:r>
            <w:r w:rsidR="00EE646A">
              <w:t>e</w:t>
            </w:r>
            <w:r w:rsidRPr="005B2A0F">
              <w:t xml:space="preserve"> Texans' fundamental right to privately associate with causes of their choice</w:t>
            </w:r>
            <w:r w:rsidR="00EE646A">
              <w:t xml:space="preserve"> by </w:t>
            </w:r>
            <w:r w:rsidR="00EE646A" w:rsidRPr="00EE646A">
              <w:t>prohibit</w:t>
            </w:r>
            <w:r w:rsidR="00EE646A">
              <w:t>ing the</w:t>
            </w:r>
            <w:r w:rsidR="00EE646A" w:rsidRPr="00EE646A">
              <w:t xml:space="preserve"> release by a public agency of personal affiliation information regarding the members, supporters, or volunteers of or donors to certain nonprofit organizations</w:t>
            </w:r>
            <w:r w:rsidRPr="005B2A0F">
              <w:t>.</w:t>
            </w:r>
          </w:p>
          <w:p w14:paraId="05997953" w14:textId="77777777" w:rsidR="008423E4" w:rsidRPr="00E26B13" w:rsidRDefault="008423E4" w:rsidP="00132C1B">
            <w:pPr>
              <w:rPr>
                <w:b/>
              </w:rPr>
            </w:pPr>
          </w:p>
        </w:tc>
      </w:tr>
      <w:tr w:rsidR="00860CC8" w14:paraId="35D464CD" w14:textId="77777777" w:rsidTr="00245ADA">
        <w:tc>
          <w:tcPr>
            <w:tcW w:w="9360" w:type="dxa"/>
          </w:tcPr>
          <w:p w14:paraId="271A4383" w14:textId="77777777" w:rsidR="0017725B" w:rsidRDefault="002470CE" w:rsidP="00132C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9CADDD" w14:textId="77777777" w:rsidR="0017725B" w:rsidRDefault="0017725B" w:rsidP="00132C1B">
            <w:pPr>
              <w:rPr>
                <w:b/>
                <w:u w:val="single"/>
              </w:rPr>
            </w:pPr>
          </w:p>
          <w:p w14:paraId="4617A78C" w14:textId="77777777" w:rsidR="0017725B" w:rsidRDefault="002470CE" w:rsidP="00132C1B">
            <w:pPr>
              <w:jc w:val="both"/>
            </w:pPr>
            <w:r>
              <w:t xml:space="preserve">It is the committee's opinion that this bill expressly does one or </w:t>
            </w:r>
            <w:r>
              <w:t>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25292099" w14:textId="14838AF1" w:rsidR="00132C1B" w:rsidRPr="0017725B" w:rsidRDefault="00132C1B" w:rsidP="00132C1B">
            <w:pPr>
              <w:jc w:val="both"/>
              <w:rPr>
                <w:b/>
                <w:u w:val="single"/>
              </w:rPr>
            </w:pPr>
          </w:p>
        </w:tc>
      </w:tr>
      <w:tr w:rsidR="00860CC8" w14:paraId="005FDE45" w14:textId="77777777" w:rsidTr="00245ADA">
        <w:tc>
          <w:tcPr>
            <w:tcW w:w="9360" w:type="dxa"/>
          </w:tcPr>
          <w:p w14:paraId="302BD06F" w14:textId="77777777" w:rsidR="008423E4" w:rsidRPr="00A8133F" w:rsidRDefault="002470CE" w:rsidP="00132C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E80280" w14:textId="77777777" w:rsidR="008423E4" w:rsidRDefault="008423E4" w:rsidP="00132C1B"/>
          <w:p w14:paraId="0BC29084" w14:textId="77777777" w:rsidR="008423E4" w:rsidRDefault="002470CE" w:rsidP="00132C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3DBBFF4" w14:textId="692A0304" w:rsidR="00132C1B" w:rsidRPr="00E21FDC" w:rsidRDefault="00132C1B" w:rsidP="00132C1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60CC8" w14:paraId="721DE3D0" w14:textId="77777777" w:rsidTr="00245ADA">
        <w:tc>
          <w:tcPr>
            <w:tcW w:w="9360" w:type="dxa"/>
          </w:tcPr>
          <w:p w14:paraId="78DE9C62" w14:textId="422EC62F" w:rsidR="008423E4" w:rsidRDefault="002470CE" w:rsidP="00132C1B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75D5B0" w14:textId="77777777" w:rsidR="00132C1B" w:rsidRPr="00A8133F" w:rsidRDefault="00132C1B" w:rsidP="00132C1B">
            <w:pPr>
              <w:jc w:val="both"/>
              <w:rPr>
                <w:b/>
              </w:rPr>
            </w:pPr>
          </w:p>
          <w:p w14:paraId="263A5D2F" w14:textId="0205BAAE" w:rsidR="00F60783" w:rsidRDefault="002470CE" w:rsidP="00132C1B">
            <w:pPr>
              <w:jc w:val="both"/>
            </w:pPr>
            <w:r>
              <w:t>C.S.</w:t>
            </w:r>
            <w:r w:rsidR="008F5E32">
              <w:t xml:space="preserve">S.B. 958 amends the Government Code to </w:t>
            </w:r>
            <w:r>
              <w:t xml:space="preserve">except personal </w:t>
            </w:r>
            <w:r w:rsidR="006E2AE5">
              <w:t>affiliation</w:t>
            </w:r>
            <w:r>
              <w:t xml:space="preserve"> information from release under state public information law and to </w:t>
            </w:r>
            <w:r w:rsidR="00913488">
              <w:t xml:space="preserve">prohibit a </w:t>
            </w:r>
            <w:r w:rsidR="00913488" w:rsidRPr="00913488">
              <w:t>public agency or an officer or employee of a public agency</w:t>
            </w:r>
            <w:r w:rsidR="00913488">
              <w:t xml:space="preserve"> from </w:t>
            </w:r>
            <w:r>
              <w:t xml:space="preserve">doing any of the following: </w:t>
            </w:r>
          </w:p>
          <w:p w14:paraId="0DE2F588" w14:textId="41BAE47D" w:rsidR="00F60783" w:rsidRPr="00F60783" w:rsidRDefault="002470CE" w:rsidP="00132C1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r</w:t>
            </w:r>
            <w:r w:rsidR="00913488">
              <w:t>equir</w:t>
            </w:r>
            <w:r w:rsidR="007C6375">
              <w:t>ing</w:t>
            </w:r>
            <w:r w:rsidR="00913488">
              <w:t xml:space="preserve"> an individual</w:t>
            </w:r>
            <w:r w:rsidR="008F5E32">
              <w:t xml:space="preserve"> or a nonprofit organization</w:t>
            </w:r>
            <w:r w:rsidR="00913488">
              <w:t xml:space="preserve"> to provide personal affiliation information to the agency or otherwise compe</w:t>
            </w:r>
            <w:r w:rsidR="007C6375">
              <w:t>l</w:t>
            </w:r>
            <w:r w:rsidR="00913488">
              <w:t>l</w:t>
            </w:r>
            <w:r w:rsidR="007C6375">
              <w:t>ing</w:t>
            </w:r>
            <w:r w:rsidR="00913488">
              <w:t xml:space="preserve"> the release of personal affiliation information</w:t>
            </w:r>
            <w:r>
              <w:t xml:space="preserve">; </w:t>
            </w:r>
          </w:p>
          <w:p w14:paraId="4DCC5973" w14:textId="54FB6DBC" w:rsidR="00F60783" w:rsidRPr="00F60783" w:rsidRDefault="002470CE" w:rsidP="00132C1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releas</w:t>
            </w:r>
            <w:r w:rsidR="007C6375">
              <w:t>ing</w:t>
            </w:r>
            <w:r>
              <w:t>, publiciz</w:t>
            </w:r>
            <w:r w:rsidR="007C6375">
              <w:t>ing</w:t>
            </w:r>
            <w:r>
              <w:t>, or otherwise publicly disclos</w:t>
            </w:r>
            <w:r w:rsidR="007C6375">
              <w:t>ing</w:t>
            </w:r>
            <w:r>
              <w:t xml:space="preserve"> </w:t>
            </w:r>
            <w:r>
              <w:t>personal affiliation information in the agency's possession;</w:t>
            </w:r>
            <w:r w:rsidR="00123C59">
              <w:t xml:space="preserve"> </w:t>
            </w:r>
            <w:r>
              <w:t>or</w:t>
            </w:r>
            <w:r w:rsidR="00123C59">
              <w:t xml:space="preserve"> </w:t>
            </w:r>
          </w:p>
          <w:p w14:paraId="495185E4" w14:textId="77777777" w:rsidR="00F60783" w:rsidRPr="00F60783" w:rsidRDefault="002470CE" w:rsidP="00132C1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123C59">
              <w:t>request</w:t>
            </w:r>
            <w:r>
              <w:t>ing</w:t>
            </w:r>
            <w:r w:rsidRPr="00123C59">
              <w:t xml:space="preserve"> or requir</w:t>
            </w:r>
            <w:r>
              <w:t>ing</w:t>
            </w:r>
            <w:r w:rsidRPr="00123C59">
              <w:t xml:space="preserve"> a current or prospective contractor with or grantee of the agency to provide to the agency a list of nonprofit organizations to which the contractor or grantee has pro</w:t>
            </w:r>
            <w:r w:rsidRPr="00123C59">
              <w:t>vided financial or nonfinancial support</w:t>
            </w:r>
            <w:r>
              <w:t xml:space="preserve">. </w:t>
            </w:r>
          </w:p>
          <w:p w14:paraId="3BCBF93D" w14:textId="3D8F2E8E" w:rsidR="00B45064" w:rsidRPr="00F60783" w:rsidRDefault="002470CE" w:rsidP="00132C1B">
            <w:pPr>
              <w:jc w:val="both"/>
              <w:rPr>
                <w:rFonts w:ascii="Consolas" w:hAnsi="Consolas" w:cs="Courier New"/>
                <w:color w:val="333333"/>
                <w:sz w:val="20"/>
                <w:szCs w:val="20"/>
                <w:u w:val="single"/>
              </w:rPr>
            </w:pPr>
            <w:r>
              <w:t xml:space="preserve">The bill creates a Class B misdemeanor offense for a person who </w:t>
            </w:r>
            <w:r w:rsidR="00B950ED">
              <w:t xml:space="preserve">knowingly </w:t>
            </w:r>
            <w:r>
              <w:t xml:space="preserve">violates </w:t>
            </w:r>
            <w:r w:rsidR="00F60783">
              <w:t>these provisions</w:t>
            </w:r>
            <w:r>
              <w:t>.</w:t>
            </w:r>
          </w:p>
          <w:p w14:paraId="26C8516B" w14:textId="77777777" w:rsidR="00B45064" w:rsidRDefault="00B45064" w:rsidP="00132C1B">
            <w:pPr>
              <w:jc w:val="both"/>
            </w:pPr>
          </w:p>
          <w:p w14:paraId="01EE05D2" w14:textId="0FB0F241" w:rsidR="00B45064" w:rsidRDefault="002470CE" w:rsidP="00132C1B">
            <w:pPr>
              <w:jc w:val="both"/>
            </w:pPr>
            <w:r>
              <w:t>C.S.</w:t>
            </w:r>
            <w:r w:rsidR="00123C59">
              <w:t xml:space="preserve">S.B. 958 </w:t>
            </w:r>
            <w:r w:rsidR="006E2AE5">
              <w:t>makes</w:t>
            </w:r>
            <w:r w:rsidR="0025483B">
              <w:t xml:space="preserve"> those protections for personal affiliation information</w:t>
            </w:r>
            <w:r w:rsidR="006E2AE5">
              <w:t xml:space="preserve"> inapplicable to the following</w:t>
            </w:r>
            <w:r w:rsidR="001637EF">
              <w:t>:</w:t>
            </w:r>
          </w:p>
          <w:p w14:paraId="3158A34E" w14:textId="4231C2D9" w:rsidR="001637EF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persona</w:t>
            </w:r>
            <w:r>
              <w:t xml:space="preserve">l affiliation information included in a report required to be filed under state law by a candidate for public office, a public official, or a </w:t>
            </w:r>
            <w:r w:rsidR="001A2650">
              <w:t>person required by state law to register as a lobbyist</w:t>
            </w:r>
            <w:r>
              <w:t>;</w:t>
            </w:r>
          </w:p>
          <w:p w14:paraId="307DABE6" w14:textId="0A99758D" w:rsidR="001637EF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a warrant for personal affiliation information issued by a</w:t>
            </w:r>
            <w:r>
              <w:t xml:space="preserve"> court in </w:t>
            </w:r>
            <w:r w:rsidR="001A2650">
              <w:t>Texas</w:t>
            </w:r>
            <w:r>
              <w:t>;</w:t>
            </w:r>
          </w:p>
          <w:p w14:paraId="32FB2FE5" w14:textId="380A65F5" w:rsidR="001637EF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a request for discovery of personal affiliation information in an action brought in a </w:t>
            </w:r>
            <w:r w:rsidR="001A2650">
              <w:t xml:space="preserve">state </w:t>
            </w:r>
            <w:r>
              <w:t>court</w:t>
            </w:r>
            <w:r w:rsidR="0025483B">
              <w:t>,</w:t>
            </w:r>
            <w:r w:rsidR="001A2650">
              <w:t xml:space="preserve"> </w:t>
            </w:r>
            <w:r>
              <w:t>if the requestor</w:t>
            </w:r>
            <w:r w:rsidR="0025483B">
              <w:t xml:space="preserve"> </w:t>
            </w:r>
            <w:r>
              <w:t>demonstrates by clear and convincing evidence a compelling need for the information and</w:t>
            </w:r>
            <w:r w:rsidR="0025483B">
              <w:t xml:space="preserve"> </w:t>
            </w:r>
            <w:r>
              <w:t xml:space="preserve">obtains a protective order barring </w:t>
            </w:r>
            <w:r>
              <w:t>release of the information to any person not directly involved in the action;</w:t>
            </w:r>
          </w:p>
          <w:p w14:paraId="696932A4" w14:textId="3FACA58D" w:rsidR="001637EF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personal affiliation information admitted as relevant evidence in an action before a court</w:t>
            </w:r>
            <w:r w:rsidR="0057463C">
              <w:t>,</w:t>
            </w:r>
            <w:r>
              <w:t xml:space="preserve"> provided the court does not publicly release the information unless the court specific</w:t>
            </w:r>
            <w:r>
              <w:t>ally finds good cause for the release;</w:t>
            </w:r>
          </w:p>
          <w:p w14:paraId="03C89E3D" w14:textId="0F5A4417" w:rsidR="001637EF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personal affiliation information voluntarily released to the public by a person or nonprofit organization;</w:t>
            </w:r>
          </w:p>
          <w:p w14:paraId="426B49C6" w14:textId="41BB769E" w:rsidR="001637EF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personal affiliation information disclosing the identity of a director, officer, </w:t>
            </w:r>
            <w:r w:rsidR="0078348E">
              <w:t xml:space="preserve">registered </w:t>
            </w:r>
            <w:r>
              <w:t>agent, or incorpor</w:t>
            </w:r>
            <w:r>
              <w:t>ator of a nonprofit organization in any report, including a report required under state law to be filed with the secretary of state, provided that information directly identifying an individual as a donor of financial support to a nonprofit organization is</w:t>
            </w:r>
            <w:r>
              <w:t xml:space="preserve"> not collected or disclosed;</w:t>
            </w:r>
          </w:p>
          <w:p w14:paraId="28FA12F0" w14:textId="62295616" w:rsidR="001637EF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personal affiliation information that is derived from an individual's donation to a nonprofit organization affiliated with a public agency and is required by state law, unless the individual submitted a request for the nonprofi</w:t>
            </w:r>
            <w:r>
              <w:t>t organization to maintain the individual's anonymity;</w:t>
            </w:r>
          </w:p>
          <w:p w14:paraId="47D68637" w14:textId="59AA9D0D" w:rsidR="00B950ED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personal affiliation information obtained by a national securities association registered</w:t>
            </w:r>
            <w:r w:rsidR="001A2650">
              <w:t xml:space="preserve"> </w:t>
            </w:r>
            <w:r>
              <w:t xml:space="preserve">under the </w:t>
            </w:r>
            <w:r w:rsidR="003E7422">
              <w:t xml:space="preserve">federal </w:t>
            </w:r>
            <w:r>
              <w:t>Securities Exchange Act of 1934</w:t>
            </w:r>
            <w:r w:rsidR="003E7422">
              <w:t>, obtained under regulations adopted under that act,</w:t>
            </w:r>
            <w:r>
              <w:t xml:space="preserve"> or provid</w:t>
            </w:r>
            <w:r>
              <w:t xml:space="preserve">ed by a national securities association to a state agency in accordance with that </w:t>
            </w:r>
            <w:r w:rsidR="003E7422">
              <w:t xml:space="preserve">act </w:t>
            </w:r>
            <w:r>
              <w:t>and state law;</w:t>
            </w:r>
          </w:p>
          <w:p w14:paraId="4C9AF01A" w14:textId="166F3492" w:rsidR="00B950ED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personal affiliation information included in materials submitted to the </w:t>
            </w:r>
            <w:r w:rsidR="00752749">
              <w:t xml:space="preserve">governor's </w:t>
            </w:r>
            <w:r>
              <w:t xml:space="preserve">office by an applicant who is seeking consideration for a </w:t>
            </w:r>
            <w:r>
              <w:t>gubernatorial appointment, provided:</w:t>
            </w:r>
          </w:p>
          <w:p w14:paraId="6EF9EA7D" w14:textId="552D8EC9" w:rsidR="00B950ED" w:rsidRDefault="002470CE" w:rsidP="00132C1B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the office does not require the applicant to submit a list of nonprofit organizations to which the individual has provided financial support; and</w:t>
            </w:r>
          </w:p>
          <w:p w14:paraId="04A59D79" w14:textId="38630CA7" w:rsidR="00B950ED" w:rsidRDefault="002470CE" w:rsidP="00132C1B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the applicant is not prohibited from voluntarily providing the list;</w:t>
            </w:r>
          </w:p>
          <w:p w14:paraId="6096D956" w14:textId="7951C61E" w:rsidR="00B950ED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pers</w:t>
            </w:r>
            <w:r>
              <w:t xml:space="preserve">onal affiliation information the Texas Department of Criminal Justice </w:t>
            </w:r>
            <w:r w:rsidR="00650659">
              <w:t xml:space="preserve">(TDCJ) </w:t>
            </w:r>
            <w:r>
              <w:t>requests for a criminal history record information check or other security purposes in connection with the provision of any program or service, including volunteer and legal servi</w:t>
            </w:r>
            <w:r>
              <w:t>ces, to an inmate, releasee, or person on community supervision, provided the information is used only for the record information check or security purposes;</w:t>
            </w:r>
          </w:p>
          <w:p w14:paraId="161CA2CB" w14:textId="69C5251D" w:rsidR="00B950ED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personal affiliation information the attorney general obtains in </w:t>
            </w:r>
            <w:r w:rsidR="00E436FA">
              <w:t>certain</w:t>
            </w:r>
            <w:r>
              <w:t xml:space="preserve"> investigation</w:t>
            </w:r>
            <w:r w:rsidR="00E436FA">
              <w:t>s</w:t>
            </w:r>
            <w:r>
              <w:t xml:space="preserve"> conducted </w:t>
            </w:r>
            <w:r>
              <w:t>under the Business Organizations Code, provided the collected personal affiliation information:</w:t>
            </w:r>
          </w:p>
          <w:p w14:paraId="639E0476" w14:textId="3C916771" w:rsidR="00B950ED" w:rsidRDefault="002470CE" w:rsidP="00132C1B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is used only in connection with the specific investigation related to the request and any related proceeding; and</w:t>
            </w:r>
          </w:p>
          <w:p w14:paraId="401DFDFB" w14:textId="6BC0652F" w:rsidR="00B950ED" w:rsidRDefault="002470CE" w:rsidP="00132C1B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 xml:space="preserve">is not released, publicized, or </w:t>
            </w:r>
            <w:r>
              <w:t>otherwise publicly disclosed, unless the information's disclosure is expressly required by other law; and</w:t>
            </w:r>
          </w:p>
          <w:p w14:paraId="20D3CDE8" w14:textId="5B9677E4" w:rsidR="00B950ED" w:rsidRDefault="002470CE" w:rsidP="00132C1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attorney general's disclosure of personal affiliation information in court pleadings, submissions of evidence, or public communications related to</w:t>
            </w:r>
            <w:r>
              <w:t xml:space="preserve"> a criminal proceeding or a civil enforcement action, provided the public communications include personal affiliation information only if the accused party is found guilty in the criminal proceeding or liable in the civil enforcement action.</w:t>
            </w:r>
          </w:p>
          <w:p w14:paraId="52E53ED5" w14:textId="77777777" w:rsidR="001637EF" w:rsidRDefault="001637EF" w:rsidP="00132C1B">
            <w:pPr>
              <w:jc w:val="both"/>
            </w:pPr>
          </w:p>
          <w:p w14:paraId="580F2996" w14:textId="7A0FFB86" w:rsidR="003E7422" w:rsidRDefault="002470CE" w:rsidP="00132C1B">
            <w:pPr>
              <w:jc w:val="both"/>
            </w:pPr>
            <w:r>
              <w:t>C.S.</w:t>
            </w:r>
            <w:r w:rsidR="00123C59">
              <w:t xml:space="preserve">S.B. 958 </w:t>
            </w:r>
            <w:r w:rsidR="001637EF">
              <w:t xml:space="preserve">authorizes a person who alleges a violation of the </w:t>
            </w:r>
            <w:r>
              <w:t xml:space="preserve">bill's protections for personal affiliation information </w:t>
            </w:r>
            <w:r w:rsidR="001637EF">
              <w:t xml:space="preserve">to bring a civil action to obtain </w:t>
            </w:r>
            <w:r>
              <w:t>the following:</w:t>
            </w:r>
          </w:p>
          <w:p w14:paraId="1EC7C901" w14:textId="7244B019" w:rsidR="003E7422" w:rsidRDefault="002470CE" w:rsidP="00132C1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appropriate injunctive relief; </w:t>
            </w:r>
          </w:p>
          <w:p w14:paraId="538B0021" w14:textId="503BF3C6" w:rsidR="003E7422" w:rsidRDefault="002470CE" w:rsidP="00132C1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appropriate </w:t>
            </w:r>
            <w:r w:rsidR="001637EF">
              <w:t xml:space="preserve">damages incurred by the person in an amount equal to </w:t>
            </w:r>
            <w:r>
              <w:t>not</w:t>
            </w:r>
            <w:r>
              <w:t xml:space="preserve"> less than</w:t>
            </w:r>
            <w:r w:rsidR="001637EF">
              <w:t xml:space="preserve"> $2,500 as compensatory damages for injury or loss caused by each violation or a sum capped at three times </w:t>
            </w:r>
            <w:r>
              <w:t xml:space="preserve">that </w:t>
            </w:r>
            <w:r w:rsidR="001637EF">
              <w:t>amount for each intentional violation</w:t>
            </w:r>
            <w:r>
              <w:t>;</w:t>
            </w:r>
            <w:r w:rsidR="001637EF">
              <w:t xml:space="preserve"> and </w:t>
            </w:r>
          </w:p>
          <w:p w14:paraId="16F67A45" w14:textId="3AC53BBC" w:rsidR="003E7422" w:rsidRDefault="002470CE" w:rsidP="00132C1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appropriate </w:t>
            </w:r>
            <w:r w:rsidR="001637EF">
              <w:t>court costs, including reasonable attorney's and witness fees.</w:t>
            </w:r>
            <w:r w:rsidR="00335BCB">
              <w:t xml:space="preserve"> </w:t>
            </w:r>
          </w:p>
          <w:p w14:paraId="4DB757A5" w14:textId="0157D57E" w:rsidR="001637EF" w:rsidRDefault="002470CE" w:rsidP="00132C1B">
            <w:pPr>
              <w:jc w:val="both"/>
            </w:pPr>
            <w:r>
              <w:t>T</w:t>
            </w:r>
            <w:r w:rsidR="00335BCB">
              <w:t>h</w:t>
            </w:r>
            <w:r>
              <w:t>e bill autho</w:t>
            </w:r>
            <w:r>
              <w:t xml:space="preserve">rizes the person to sue </w:t>
            </w:r>
            <w:r w:rsidRPr="001637EF">
              <w:t xml:space="preserve">the </w:t>
            </w:r>
            <w:r w:rsidR="00E436FA">
              <w:t xml:space="preserve">applicable </w:t>
            </w:r>
            <w:r w:rsidRPr="001637EF">
              <w:t xml:space="preserve">public agency for </w:t>
            </w:r>
            <w:r w:rsidR="00E436FA">
              <w:t>that</w:t>
            </w:r>
            <w:r w:rsidR="00E436FA" w:rsidRPr="001637EF">
              <w:t xml:space="preserve"> </w:t>
            </w:r>
            <w:r w:rsidRPr="001637EF">
              <w:t>relief</w:t>
            </w:r>
            <w:r>
              <w:t xml:space="preserve"> and waives </w:t>
            </w:r>
            <w:r w:rsidR="00335BCB">
              <w:t xml:space="preserve">and abolishes </w:t>
            </w:r>
            <w:r>
              <w:t xml:space="preserve">sovereign </w:t>
            </w:r>
            <w:r w:rsidR="00E47664">
              <w:t xml:space="preserve">or </w:t>
            </w:r>
            <w:r>
              <w:t xml:space="preserve">governmental immunity, as applicable, </w:t>
            </w:r>
            <w:r w:rsidR="00335BCB" w:rsidRPr="00335BCB">
              <w:t xml:space="preserve">to the extent of liability for </w:t>
            </w:r>
            <w:r>
              <w:t>that</w:t>
            </w:r>
            <w:r w:rsidRPr="00335BCB">
              <w:t xml:space="preserve"> </w:t>
            </w:r>
            <w:r w:rsidR="00335BCB" w:rsidRPr="00335BCB">
              <w:t>relief.</w:t>
            </w:r>
          </w:p>
          <w:p w14:paraId="517F42F1" w14:textId="577A159B" w:rsidR="00335BCB" w:rsidRDefault="00335BCB" w:rsidP="00132C1B">
            <w:pPr>
              <w:jc w:val="both"/>
            </w:pPr>
          </w:p>
          <w:p w14:paraId="32E74715" w14:textId="1CA8C4D1" w:rsidR="008F5E32" w:rsidRDefault="002470CE" w:rsidP="00132C1B">
            <w:pPr>
              <w:jc w:val="both"/>
            </w:pPr>
            <w:r>
              <w:t>C.S.</w:t>
            </w:r>
            <w:r w:rsidR="00123C59">
              <w:t xml:space="preserve">S.B. 958 </w:t>
            </w:r>
            <w:r>
              <w:t>defines the following terms</w:t>
            </w:r>
            <w:r w:rsidR="003E7422">
              <w:t xml:space="preserve"> for purposes of the bill's provisions</w:t>
            </w:r>
            <w:r>
              <w:t>:</w:t>
            </w:r>
          </w:p>
          <w:p w14:paraId="5929E85E" w14:textId="470954A0" w:rsidR="00955833" w:rsidRDefault="002470CE" w:rsidP="00132C1B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241DFD">
              <w:t xml:space="preserve">"nonprofit organization" </w:t>
            </w:r>
            <w:r w:rsidR="00F62CB8" w:rsidRPr="00DC02A5">
              <w:t>me</w:t>
            </w:r>
            <w:r w:rsidRPr="00241DFD">
              <w:t>a</w:t>
            </w:r>
            <w:r w:rsidR="00F62CB8" w:rsidRPr="00DC02A5">
              <w:t>n</w:t>
            </w:r>
            <w:r w:rsidRPr="00241DFD">
              <w:t>s an entity that is exempt from federal income tax under the federal Internal Revenue Code of 1986 by being listed as an exempt entity</w:t>
            </w:r>
            <w:r w:rsidR="00241DFD" w:rsidRPr="00DC02A5">
              <w:t xml:space="preserve"> under Section 501(c) of that code</w:t>
            </w:r>
            <w:r w:rsidRPr="00241DFD">
              <w:t xml:space="preserve">, has submitted an application with the </w:t>
            </w:r>
            <w:r w:rsidR="00241DFD" w:rsidRPr="00DC02A5">
              <w:t>IRS</w:t>
            </w:r>
            <w:r w:rsidRPr="00241DFD">
              <w:t xml:space="preserve"> for recognition of an exemption</w:t>
            </w:r>
            <w:r w:rsidR="00241DFD" w:rsidRPr="00DC02A5">
              <w:t xml:space="preserve"> under Section 501(c) of that code</w:t>
            </w:r>
            <w:r w:rsidRPr="00241DFD">
              <w:t xml:space="preserve">, or is a nonprofit corporation or association organized or formed under the laws of </w:t>
            </w:r>
            <w:r w:rsidR="00241DFD" w:rsidRPr="00DC02A5">
              <w:t>the S</w:t>
            </w:r>
            <w:r w:rsidRPr="00241DFD">
              <w:t>tate</w:t>
            </w:r>
            <w:r w:rsidR="00241DFD" w:rsidRPr="00DC02A5">
              <w:t xml:space="preserve"> of Texas</w:t>
            </w:r>
            <w:r w:rsidRPr="00241DFD">
              <w:t xml:space="preserve"> or another state;</w:t>
            </w:r>
          </w:p>
          <w:p w14:paraId="1763E9C6" w14:textId="3F3D7370" w:rsidR="00955833" w:rsidRDefault="002470CE" w:rsidP="00132C1B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"personal affiliation inf</w:t>
            </w:r>
            <w:r>
              <w:t xml:space="preserve">ormation" </w:t>
            </w:r>
            <w:r w:rsidR="00F62CB8">
              <w:t>me</w:t>
            </w:r>
            <w:r>
              <w:t>a</w:t>
            </w:r>
            <w:r w:rsidR="00F62CB8">
              <w:t>n</w:t>
            </w:r>
            <w:r>
              <w:t>s a list, record, registry, roster, or other compilation of any data that directly or indirectly identifies a person as a member, supporter, or volunteer of, or a donor of financial or nonfinancial support to, a nonprofit organization; and</w:t>
            </w:r>
          </w:p>
          <w:p w14:paraId="3A3D2506" w14:textId="4C006A9F" w:rsidR="00955833" w:rsidRDefault="002470CE" w:rsidP="00132C1B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"p</w:t>
            </w:r>
            <w:r>
              <w:t>ublic agency" means a state or local governmental unit, including:</w:t>
            </w:r>
          </w:p>
          <w:p w14:paraId="728362A0" w14:textId="60B6EDE9" w:rsidR="00955833" w:rsidRDefault="002470CE" w:rsidP="00132C1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the state or an entity in the executive branch of state government;</w:t>
            </w:r>
          </w:p>
          <w:p w14:paraId="43070F85" w14:textId="28D6E4C2" w:rsidR="00955833" w:rsidRDefault="002470CE" w:rsidP="00132C1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any state or local court or other judicial or quasi-judicial body in the judicial branch of state government;</w:t>
            </w:r>
            <w:r w:rsidR="00B950ED">
              <w:t xml:space="preserve"> or</w:t>
            </w:r>
          </w:p>
          <w:p w14:paraId="47FEFC21" w14:textId="66A2BC3F" w:rsidR="008F5E32" w:rsidRDefault="002470CE" w:rsidP="00132C1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a political subdivision of </w:t>
            </w:r>
            <w:r w:rsidR="00F62CB8">
              <w:t xml:space="preserve">the </w:t>
            </w:r>
            <w:r>
              <w:t xml:space="preserve">state, including a county, municipality, </w:t>
            </w:r>
            <w:r w:rsidR="00F62CB8">
              <w:t xml:space="preserve">public </w:t>
            </w:r>
            <w:r>
              <w:t>school district, community college district, or any other local governmental unit, agency, authority, council, board, or commission.</w:t>
            </w:r>
          </w:p>
          <w:p w14:paraId="1CD06555" w14:textId="77777777" w:rsidR="00F27DEA" w:rsidRDefault="00F27DEA" w:rsidP="00132C1B">
            <w:pPr>
              <w:jc w:val="both"/>
            </w:pPr>
          </w:p>
          <w:p w14:paraId="1CD1368F" w14:textId="3CB592E0" w:rsidR="008423E4" w:rsidRDefault="002470CE" w:rsidP="00132C1B">
            <w:pPr>
              <w:jc w:val="both"/>
            </w:pPr>
            <w:r>
              <w:t>C.S.</w:t>
            </w:r>
            <w:r w:rsidR="00123C59">
              <w:t xml:space="preserve">S.B. 958 </w:t>
            </w:r>
            <w:r w:rsidR="00335BCB" w:rsidRPr="00335BCB">
              <w:t xml:space="preserve">applies only to personal affiliation information released or disclosed on or after the </w:t>
            </w:r>
            <w:r w:rsidR="001D1EC1">
              <w:t xml:space="preserve">bill's </w:t>
            </w:r>
            <w:r w:rsidR="00335BCB" w:rsidRPr="00335BCB">
              <w:t>effective date</w:t>
            </w:r>
            <w:r w:rsidR="00335BCB">
              <w:t>.</w:t>
            </w:r>
          </w:p>
          <w:p w14:paraId="3DFEC6D0" w14:textId="1E9387E6" w:rsidR="00132C1B" w:rsidRPr="00835628" w:rsidRDefault="00132C1B" w:rsidP="00132C1B">
            <w:pPr>
              <w:jc w:val="both"/>
              <w:rPr>
                <w:b/>
              </w:rPr>
            </w:pPr>
          </w:p>
        </w:tc>
      </w:tr>
      <w:tr w:rsidR="00860CC8" w14:paraId="3AA09D1E" w14:textId="77777777" w:rsidTr="00245ADA">
        <w:tc>
          <w:tcPr>
            <w:tcW w:w="9360" w:type="dxa"/>
          </w:tcPr>
          <w:p w14:paraId="7FB9A2FC" w14:textId="77777777" w:rsidR="008423E4" w:rsidRPr="00A8133F" w:rsidRDefault="002470CE" w:rsidP="00132C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AEAAA4" w14:textId="77777777" w:rsidR="008423E4" w:rsidRDefault="008423E4" w:rsidP="00132C1B"/>
          <w:p w14:paraId="66E0C663" w14:textId="77777777" w:rsidR="008423E4" w:rsidRDefault="002470CE" w:rsidP="00132C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9F72DB1" w14:textId="2126C1AD" w:rsidR="00132C1B" w:rsidRPr="00233FDB" w:rsidRDefault="00132C1B" w:rsidP="00132C1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60CC8" w14:paraId="2928347C" w14:textId="77777777" w:rsidTr="00245ADA">
        <w:tc>
          <w:tcPr>
            <w:tcW w:w="9360" w:type="dxa"/>
          </w:tcPr>
          <w:p w14:paraId="7F1B0B8D" w14:textId="5827BB2D" w:rsidR="000D22C7" w:rsidRDefault="002470CE" w:rsidP="00132C1B">
            <w:pPr>
              <w:rPr>
                <w:b/>
                <w:bCs/>
                <w:u w:val="single"/>
              </w:rPr>
            </w:pPr>
            <w:r w:rsidRPr="00245ADA">
              <w:rPr>
                <w:b/>
                <w:bCs/>
                <w:u w:val="single"/>
              </w:rPr>
              <w:t>COMPARISON OF SENATE ENGROSSED AND SUBSTITUTE</w:t>
            </w:r>
          </w:p>
          <w:p w14:paraId="074486D1" w14:textId="77777777" w:rsidR="00132C1B" w:rsidRPr="00245ADA" w:rsidRDefault="00132C1B" w:rsidP="00132C1B">
            <w:pPr>
              <w:rPr>
                <w:b/>
                <w:bCs/>
                <w:u w:val="single"/>
              </w:rPr>
            </w:pPr>
          </w:p>
          <w:p w14:paraId="3A312842" w14:textId="0A23185B" w:rsidR="00245ADA" w:rsidRDefault="002470CE" w:rsidP="00132C1B">
            <w:pPr>
              <w:jc w:val="both"/>
            </w:pPr>
            <w:r>
              <w:t>While C.S.S.B</w:t>
            </w:r>
            <w:r>
              <w:t>. 958 may differ from the engrossed in minor or nonsubstantive ways, the following summarizes the substantial differences between the engrossed and committee substitute versions of the bill.</w:t>
            </w:r>
          </w:p>
          <w:p w14:paraId="23446FA1" w14:textId="32CD324B" w:rsidR="00245ADA" w:rsidRDefault="00245ADA" w:rsidP="00132C1B">
            <w:pPr>
              <w:jc w:val="both"/>
            </w:pPr>
          </w:p>
          <w:p w14:paraId="3AE6515A" w14:textId="1AA227C4" w:rsidR="00245ADA" w:rsidRDefault="002470CE" w:rsidP="00132C1B">
            <w:pPr>
              <w:jc w:val="both"/>
            </w:pPr>
            <w:r>
              <w:t xml:space="preserve">The substitute expands the </w:t>
            </w:r>
            <w:r w:rsidR="00650659">
              <w:t xml:space="preserve">list of </w:t>
            </w:r>
            <w:r>
              <w:t xml:space="preserve">exceptions </w:t>
            </w:r>
            <w:r>
              <w:t xml:space="preserve">to the applicability of </w:t>
            </w:r>
            <w:r w:rsidR="00650659">
              <w:t>the</w:t>
            </w:r>
            <w:r>
              <w:t xml:space="preserve"> </w:t>
            </w:r>
            <w:r w:rsidRPr="00245ADA">
              <w:t>protect</w:t>
            </w:r>
            <w:r w:rsidR="00650659">
              <w:t>ions</w:t>
            </w:r>
            <w:r w:rsidRPr="00245ADA">
              <w:t xml:space="preserve"> </w:t>
            </w:r>
            <w:r w:rsidR="00650659">
              <w:t xml:space="preserve">for </w:t>
            </w:r>
            <w:r w:rsidRPr="00245ADA">
              <w:t>personal affiliation information</w:t>
            </w:r>
            <w:r>
              <w:t xml:space="preserve"> </w:t>
            </w:r>
            <w:r w:rsidR="00650659">
              <w:t>set out by the engrossed to</w:t>
            </w:r>
            <w:r>
              <w:t xml:space="preserve"> includ</w:t>
            </w:r>
            <w:r w:rsidR="00DB7CA4">
              <w:t>e</w:t>
            </w:r>
            <w:r>
              <w:t xml:space="preserve"> the following: </w:t>
            </w:r>
          </w:p>
          <w:p w14:paraId="050F3E77" w14:textId="59DC5847" w:rsidR="00245ADA" w:rsidRDefault="002470CE" w:rsidP="00132C1B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 w:rsidRPr="00245ADA">
              <w:t xml:space="preserve">personal affiliation information included in materials submitted to the </w:t>
            </w:r>
            <w:r w:rsidR="00650659">
              <w:t xml:space="preserve">governor's </w:t>
            </w:r>
            <w:r w:rsidRPr="00245ADA">
              <w:t>office by an applicant who is seeking consid</w:t>
            </w:r>
            <w:r w:rsidRPr="00245ADA">
              <w:t>eration for a gubernatorial appointment</w:t>
            </w:r>
            <w:r w:rsidR="00650659">
              <w:t>, provided certain conditions are met</w:t>
            </w:r>
            <w:r>
              <w:t>;</w:t>
            </w:r>
          </w:p>
          <w:p w14:paraId="56B9720F" w14:textId="75337FF8" w:rsidR="00245ADA" w:rsidRDefault="002470CE" w:rsidP="00132C1B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 w:rsidRPr="00245ADA">
              <w:t xml:space="preserve">personal affiliation information the </w:t>
            </w:r>
            <w:r w:rsidR="00650659">
              <w:t>TDCJ</w:t>
            </w:r>
            <w:r w:rsidRPr="00245ADA">
              <w:t xml:space="preserve"> requests for a criminal history record information check or other security purposes</w:t>
            </w:r>
            <w:r w:rsidR="00650659">
              <w:t xml:space="preserve"> </w:t>
            </w:r>
            <w:r w:rsidR="00650659" w:rsidRPr="00650659">
              <w:t>in connection with the provision of any program or service</w:t>
            </w:r>
            <w:r w:rsidR="00650659">
              <w:t>, provided certain conditions are met</w:t>
            </w:r>
            <w:r>
              <w:t>;</w:t>
            </w:r>
          </w:p>
          <w:p w14:paraId="1BC8E972" w14:textId="26626D06" w:rsidR="00245ADA" w:rsidRDefault="002470CE" w:rsidP="00132C1B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 w:rsidRPr="00245ADA">
              <w:t xml:space="preserve">personal affiliation information the attorney general obtains in </w:t>
            </w:r>
            <w:r>
              <w:t>certain</w:t>
            </w:r>
            <w:r w:rsidRPr="00245ADA">
              <w:t xml:space="preserve"> investigation</w:t>
            </w:r>
            <w:r>
              <w:t xml:space="preserve">s </w:t>
            </w:r>
            <w:r w:rsidR="00650659">
              <w:t xml:space="preserve">conducted </w:t>
            </w:r>
            <w:r>
              <w:t>under the Business Organizations Code</w:t>
            </w:r>
            <w:r w:rsidR="00650659">
              <w:t>, provided certain conditions are met</w:t>
            </w:r>
            <w:r>
              <w:t>; and</w:t>
            </w:r>
          </w:p>
          <w:p w14:paraId="3474990C" w14:textId="58D8B598" w:rsidR="00245ADA" w:rsidRDefault="002470CE" w:rsidP="00132C1B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 w:rsidRPr="00245ADA">
              <w:t>the attorney general's disclosure</w:t>
            </w:r>
            <w:r w:rsidRPr="00245ADA">
              <w:t xml:space="preserve"> of personal affiliation information in court pleadings, submissions of evidence, or public communications related to a criminal proceeding or a civil enforcement action</w:t>
            </w:r>
            <w:r w:rsidR="00650659">
              <w:t>, provided certain conditions are met.</w:t>
            </w:r>
          </w:p>
          <w:p w14:paraId="021067E2" w14:textId="44F728A7" w:rsidR="00245ADA" w:rsidRDefault="00245ADA" w:rsidP="00132C1B">
            <w:pPr>
              <w:jc w:val="both"/>
            </w:pPr>
          </w:p>
          <w:p w14:paraId="0671170E" w14:textId="65882653" w:rsidR="000D22C7" w:rsidRDefault="002470CE" w:rsidP="00132C1B">
            <w:pPr>
              <w:jc w:val="both"/>
            </w:pPr>
            <w:r w:rsidRPr="00245ADA">
              <w:t>The</w:t>
            </w:r>
            <w:r w:rsidR="005B2A0F">
              <w:t xml:space="preserve"> engrossed and the</w:t>
            </w:r>
            <w:r w:rsidRPr="00245ADA">
              <w:t xml:space="preserve"> substitute </w:t>
            </w:r>
            <w:r w:rsidR="005B2A0F">
              <w:t>each</w:t>
            </w:r>
            <w:r>
              <w:t xml:space="preserve"> creat</w:t>
            </w:r>
            <w:r w:rsidR="005B2A0F">
              <w:t>e</w:t>
            </w:r>
            <w:r>
              <w:t xml:space="preserve"> </w:t>
            </w:r>
            <w:r w:rsidR="005B2A0F">
              <w:t>a</w:t>
            </w:r>
            <w:r>
              <w:t xml:space="preserve"> </w:t>
            </w:r>
            <w:r>
              <w:t xml:space="preserve">criminal </w:t>
            </w:r>
            <w:r w:rsidR="005B2A0F">
              <w:t xml:space="preserve">offense for </w:t>
            </w:r>
            <w:r>
              <w:t xml:space="preserve">violating </w:t>
            </w:r>
            <w:r w:rsidR="005B2A0F">
              <w:t xml:space="preserve">the </w:t>
            </w:r>
            <w:r>
              <w:t xml:space="preserve">provisions </w:t>
            </w:r>
            <w:r w:rsidR="005B2A0F">
              <w:t>of the bill establishing</w:t>
            </w:r>
            <w:r>
              <w:t xml:space="preserve"> </w:t>
            </w:r>
            <w:r w:rsidRPr="00245ADA">
              <w:t>protect</w:t>
            </w:r>
            <w:r w:rsidR="005B2A0F">
              <w:t>ions</w:t>
            </w:r>
            <w:r w:rsidRPr="00245ADA">
              <w:t xml:space="preserve"> </w:t>
            </w:r>
            <w:r w:rsidR="005B2A0F">
              <w:t xml:space="preserve">for </w:t>
            </w:r>
            <w:r w:rsidRPr="00245ADA">
              <w:t>personal affiliation information</w:t>
            </w:r>
            <w:r w:rsidR="005B2A0F">
              <w:t>. However, the substitute revises the provisions</w:t>
            </w:r>
            <w:r w:rsidR="00DB7CA4">
              <w:t xml:space="preserve"> shared with</w:t>
            </w:r>
            <w:r w:rsidR="005B2A0F">
              <w:t xml:space="preserve"> the engrossed to establish that</w:t>
            </w:r>
            <w:r>
              <w:t xml:space="preserve"> knowingly </w:t>
            </w:r>
            <w:r w:rsidR="005B2A0F">
              <w:t xml:space="preserve">committing a </w:t>
            </w:r>
            <w:r>
              <w:t>violat</w:t>
            </w:r>
            <w:r w:rsidR="005B2A0F">
              <w:t>ion</w:t>
            </w:r>
            <w:r>
              <w:t xml:space="preserve"> </w:t>
            </w:r>
            <w:r w:rsidR="005B2A0F">
              <w:t>is the requisite state of mind for the</w:t>
            </w:r>
            <w:r>
              <w:t xml:space="preserve"> offense</w:t>
            </w:r>
            <w:r w:rsidR="005B2A0F">
              <w:t xml:space="preserve"> to apply</w:t>
            </w:r>
            <w:r>
              <w:t>.</w:t>
            </w:r>
          </w:p>
          <w:p w14:paraId="28D4AAC1" w14:textId="77777777" w:rsidR="00E436FA" w:rsidRDefault="00E436FA" w:rsidP="00132C1B">
            <w:pPr>
              <w:jc w:val="both"/>
            </w:pPr>
          </w:p>
          <w:p w14:paraId="4A9DF762" w14:textId="33332EB2" w:rsidR="00E436FA" w:rsidRPr="000D22C7" w:rsidRDefault="002470CE" w:rsidP="00132C1B">
            <w:pPr>
              <w:jc w:val="both"/>
            </w:pPr>
            <w:r>
              <w:t>The substitute revises the definition of "public agency"</w:t>
            </w:r>
            <w:r w:rsidR="00DB7CA4">
              <w:t xml:space="preserve"> it shares with</w:t>
            </w:r>
            <w:r>
              <w:t xml:space="preserve"> the engrossed by omitting the language specifically </w:t>
            </w:r>
            <w:r w:rsidR="00650659">
              <w:t>classifying</w:t>
            </w:r>
            <w:r>
              <w:t xml:space="preserve"> a university</w:t>
            </w:r>
            <w:r w:rsidR="00650659">
              <w:t xml:space="preserve"> system or public institution of higher education as a public agency</w:t>
            </w:r>
            <w:r w:rsidR="00180F12">
              <w:t xml:space="preserve"> for purposes of the bill's provisions</w:t>
            </w:r>
            <w:r w:rsidR="00650659">
              <w:t>.</w:t>
            </w:r>
          </w:p>
        </w:tc>
      </w:tr>
    </w:tbl>
    <w:p w14:paraId="3EB85C1E" w14:textId="77777777" w:rsidR="008423E4" w:rsidRPr="00BE0E75" w:rsidRDefault="008423E4" w:rsidP="00132C1B">
      <w:pPr>
        <w:rPr>
          <w:rFonts w:ascii="Arial" w:hAnsi="Arial"/>
          <w:sz w:val="16"/>
          <w:szCs w:val="16"/>
        </w:rPr>
      </w:pPr>
    </w:p>
    <w:p w14:paraId="41B2CB08" w14:textId="77777777" w:rsidR="004108C3" w:rsidRPr="008423E4" w:rsidRDefault="004108C3" w:rsidP="00132C1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87FD" w14:textId="77777777" w:rsidR="00000000" w:rsidRDefault="002470CE">
      <w:r>
        <w:separator/>
      </w:r>
    </w:p>
  </w:endnote>
  <w:endnote w:type="continuationSeparator" w:id="0">
    <w:p w14:paraId="1D57D59C" w14:textId="77777777" w:rsidR="00000000" w:rsidRDefault="0024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4E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0CC8" w14:paraId="566745B2" w14:textId="77777777" w:rsidTr="009C1E9A">
      <w:trPr>
        <w:cantSplit/>
      </w:trPr>
      <w:tc>
        <w:tcPr>
          <w:tcW w:w="0" w:type="pct"/>
        </w:tcPr>
        <w:p w14:paraId="60272C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DB86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B17E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464B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C862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0CC8" w14:paraId="123B5322" w14:textId="77777777" w:rsidTr="009C1E9A">
      <w:trPr>
        <w:cantSplit/>
      </w:trPr>
      <w:tc>
        <w:tcPr>
          <w:tcW w:w="0" w:type="pct"/>
        </w:tcPr>
        <w:p w14:paraId="52E9B2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7F3254" w14:textId="11B2B681" w:rsidR="00EC379B" w:rsidRPr="009C1E9A" w:rsidRDefault="002470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31570-D</w:t>
          </w:r>
        </w:p>
      </w:tc>
      <w:tc>
        <w:tcPr>
          <w:tcW w:w="2453" w:type="pct"/>
        </w:tcPr>
        <w:p w14:paraId="2CBAB841" w14:textId="165A3684" w:rsidR="00EC379B" w:rsidRDefault="002470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2C1B">
            <w:t>23.139.1781</w:t>
          </w:r>
          <w:r>
            <w:fldChar w:fldCharType="end"/>
          </w:r>
        </w:p>
      </w:tc>
    </w:tr>
    <w:tr w:rsidR="00860CC8" w14:paraId="321488C3" w14:textId="77777777" w:rsidTr="009C1E9A">
      <w:trPr>
        <w:cantSplit/>
      </w:trPr>
      <w:tc>
        <w:tcPr>
          <w:tcW w:w="0" w:type="pct"/>
        </w:tcPr>
        <w:p w14:paraId="08F0F7B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5B5849" w14:textId="62F7BFFF" w:rsidR="00EC379B" w:rsidRPr="009C1E9A" w:rsidRDefault="002470C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30903</w:t>
          </w:r>
        </w:p>
      </w:tc>
      <w:tc>
        <w:tcPr>
          <w:tcW w:w="2453" w:type="pct"/>
        </w:tcPr>
        <w:p w14:paraId="0E569C3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B3F6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0CC8" w14:paraId="5D9E6CC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CF7030" w14:textId="77777777" w:rsidR="00EC379B" w:rsidRDefault="002470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0FC8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C0B4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1E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A14F" w14:textId="77777777" w:rsidR="00000000" w:rsidRDefault="002470CE">
      <w:r>
        <w:separator/>
      </w:r>
    </w:p>
  </w:footnote>
  <w:footnote w:type="continuationSeparator" w:id="0">
    <w:p w14:paraId="2F789EBE" w14:textId="77777777" w:rsidR="00000000" w:rsidRDefault="0024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074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253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B93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3DA"/>
    <w:multiLevelType w:val="hybridMultilevel"/>
    <w:tmpl w:val="C3BEE6DA"/>
    <w:lvl w:ilvl="0" w:tplc="A3C69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A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A0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D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2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2D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48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C7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45C9"/>
    <w:multiLevelType w:val="hybridMultilevel"/>
    <w:tmpl w:val="E91A2D7E"/>
    <w:lvl w:ilvl="0" w:tplc="F7E6B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C5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6F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63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02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26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07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E9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0B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2CD3"/>
    <w:multiLevelType w:val="hybridMultilevel"/>
    <w:tmpl w:val="B6C661E4"/>
    <w:lvl w:ilvl="0" w:tplc="9774A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0C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EE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6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A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61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0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89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86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D6968"/>
    <w:multiLevelType w:val="hybridMultilevel"/>
    <w:tmpl w:val="327AD6CA"/>
    <w:lvl w:ilvl="0" w:tplc="BF5E2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E5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C3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E1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00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A7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88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85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A8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85D05"/>
    <w:multiLevelType w:val="hybridMultilevel"/>
    <w:tmpl w:val="8B0818CE"/>
    <w:lvl w:ilvl="0" w:tplc="5B646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A5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C6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E9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A8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83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21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2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22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27E11"/>
    <w:multiLevelType w:val="hybridMultilevel"/>
    <w:tmpl w:val="5DFA92BE"/>
    <w:lvl w:ilvl="0" w:tplc="8A289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669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6C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CC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F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20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48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D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9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4731">
    <w:abstractNumId w:val="0"/>
  </w:num>
  <w:num w:numId="2" w16cid:durableId="318851941">
    <w:abstractNumId w:val="1"/>
  </w:num>
  <w:num w:numId="3" w16cid:durableId="915700676">
    <w:abstractNumId w:val="2"/>
  </w:num>
  <w:num w:numId="4" w16cid:durableId="725572515">
    <w:abstractNumId w:val="3"/>
  </w:num>
  <w:num w:numId="5" w16cid:durableId="138108801">
    <w:abstractNumId w:val="5"/>
  </w:num>
  <w:num w:numId="6" w16cid:durableId="1199590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B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816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EFB"/>
    <w:rsid w:val="000532BD"/>
    <w:rsid w:val="000555E0"/>
    <w:rsid w:val="00055C12"/>
    <w:rsid w:val="000608B0"/>
    <w:rsid w:val="0006104C"/>
    <w:rsid w:val="00062BF7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2C7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C59"/>
    <w:rsid w:val="001245C8"/>
    <w:rsid w:val="00124653"/>
    <w:rsid w:val="001247C5"/>
    <w:rsid w:val="00127893"/>
    <w:rsid w:val="001312BB"/>
    <w:rsid w:val="00132C1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7EF"/>
    <w:rsid w:val="001639C5"/>
    <w:rsid w:val="00163E45"/>
    <w:rsid w:val="001664C2"/>
    <w:rsid w:val="00171BF2"/>
    <w:rsid w:val="0017347B"/>
    <w:rsid w:val="0017725B"/>
    <w:rsid w:val="0018050C"/>
    <w:rsid w:val="00180F12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650"/>
    <w:rsid w:val="001A2BDD"/>
    <w:rsid w:val="001A3DDF"/>
    <w:rsid w:val="001A4310"/>
    <w:rsid w:val="001B053A"/>
    <w:rsid w:val="001B26D8"/>
    <w:rsid w:val="001B3BFA"/>
    <w:rsid w:val="001B75B8"/>
    <w:rsid w:val="001C1230"/>
    <w:rsid w:val="001C57C4"/>
    <w:rsid w:val="001C60B5"/>
    <w:rsid w:val="001C61B0"/>
    <w:rsid w:val="001C7957"/>
    <w:rsid w:val="001C7DB8"/>
    <w:rsid w:val="001C7EA8"/>
    <w:rsid w:val="001D1711"/>
    <w:rsid w:val="001D1EC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DFD"/>
    <w:rsid w:val="00241EC1"/>
    <w:rsid w:val="002431DA"/>
    <w:rsid w:val="00245ADA"/>
    <w:rsid w:val="0024691D"/>
    <w:rsid w:val="00246C98"/>
    <w:rsid w:val="002470CE"/>
    <w:rsid w:val="00247D27"/>
    <w:rsid w:val="00250A50"/>
    <w:rsid w:val="00251ED5"/>
    <w:rsid w:val="0025483B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8E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39E"/>
    <w:rsid w:val="0032453B"/>
    <w:rsid w:val="00324868"/>
    <w:rsid w:val="003305F5"/>
    <w:rsid w:val="00333930"/>
    <w:rsid w:val="00335BCB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57FEE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BBF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422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93F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6E8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FC5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63C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A0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59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AE5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749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48E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375"/>
    <w:rsid w:val="007C6803"/>
    <w:rsid w:val="007D2892"/>
    <w:rsid w:val="007D2DCC"/>
    <w:rsid w:val="007D47E1"/>
    <w:rsid w:val="007D7FCB"/>
    <w:rsid w:val="007E33B6"/>
    <w:rsid w:val="007E59E8"/>
    <w:rsid w:val="007F13D7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CC8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32"/>
    <w:rsid w:val="008F5EFC"/>
    <w:rsid w:val="00901670"/>
    <w:rsid w:val="00902212"/>
    <w:rsid w:val="00903E0A"/>
    <w:rsid w:val="00904721"/>
    <w:rsid w:val="00907780"/>
    <w:rsid w:val="00907EDD"/>
    <w:rsid w:val="009107AD"/>
    <w:rsid w:val="00913488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833"/>
    <w:rsid w:val="0095696D"/>
    <w:rsid w:val="00960F2D"/>
    <w:rsid w:val="0096482F"/>
    <w:rsid w:val="00964E3A"/>
    <w:rsid w:val="00967126"/>
    <w:rsid w:val="00970EAE"/>
    <w:rsid w:val="00971627"/>
    <w:rsid w:val="00972100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468D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06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0ED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881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579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1F5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CA4"/>
    <w:rsid w:val="00DC02A5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A74"/>
    <w:rsid w:val="00E42B85"/>
    <w:rsid w:val="00E42BB2"/>
    <w:rsid w:val="00E43263"/>
    <w:rsid w:val="00E436FA"/>
    <w:rsid w:val="00E438AE"/>
    <w:rsid w:val="00E443CE"/>
    <w:rsid w:val="00E45547"/>
    <w:rsid w:val="00E47664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BBC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401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46A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DEA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783"/>
    <w:rsid w:val="00F62CB8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5F3140-F205-45C6-8A37-F6D4FF2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81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35B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5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5B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5BCB"/>
    <w:rPr>
      <w:b/>
      <w:bCs/>
    </w:rPr>
  </w:style>
  <w:style w:type="paragraph" w:styleId="Revision">
    <w:name w:val="Revision"/>
    <w:hidden/>
    <w:uiPriority w:val="99"/>
    <w:semiHidden/>
    <w:rsid w:val="00F60783"/>
    <w:rPr>
      <w:sz w:val="24"/>
      <w:szCs w:val="24"/>
    </w:rPr>
  </w:style>
  <w:style w:type="character" w:styleId="Hyperlink">
    <w:name w:val="Hyperlink"/>
    <w:basedOn w:val="DefaultParagraphFont"/>
    <w:unhideWhenUsed/>
    <w:rsid w:val="00EE64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8644</Characters>
  <Application>Microsoft Office Word</Application>
  <DocSecurity>4</DocSecurity>
  <Lines>170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SB00958 (Committee Report (Substituted))</vt:lpstr>
    </vt:vector>
  </TitlesOfParts>
  <Company>State of Texas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31570</dc:subject>
  <dc:creator>State of Texas</dc:creator>
  <dc:description>SB 958 by Campbell-(H)State Affairs (Substitute Document Number: 88R 30903)</dc:description>
  <cp:lastModifiedBy>Damian Duarte</cp:lastModifiedBy>
  <cp:revision>2</cp:revision>
  <cp:lastPrinted>2003-11-26T17:21:00Z</cp:lastPrinted>
  <dcterms:created xsi:type="dcterms:W3CDTF">2023-05-20T17:47:00Z</dcterms:created>
  <dcterms:modified xsi:type="dcterms:W3CDTF">2023-05-20T17:47:00Z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23.139.1781</vt:lpwstr>
  </property>
</Properties>
</file>