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B5541" w14:paraId="4E441801" w14:textId="77777777" w:rsidTr="00345119">
        <w:tc>
          <w:tcPr>
            <w:tcW w:w="9576" w:type="dxa"/>
            <w:noWrap/>
          </w:tcPr>
          <w:p w14:paraId="538C73D2" w14:textId="77777777" w:rsidR="008423E4" w:rsidRPr="0022177D" w:rsidRDefault="0004508A" w:rsidP="008851BF">
            <w:pPr>
              <w:pStyle w:val="Heading1"/>
            </w:pPr>
            <w:r w:rsidRPr="00631897">
              <w:t>BILL ANALYSIS</w:t>
            </w:r>
          </w:p>
        </w:tc>
      </w:tr>
    </w:tbl>
    <w:p w14:paraId="2559BA9A" w14:textId="77777777" w:rsidR="008423E4" w:rsidRPr="0022177D" w:rsidRDefault="008423E4" w:rsidP="008851BF">
      <w:pPr>
        <w:jc w:val="center"/>
      </w:pPr>
    </w:p>
    <w:p w14:paraId="7E58706C" w14:textId="77777777" w:rsidR="008423E4" w:rsidRPr="00B31F0E" w:rsidRDefault="008423E4" w:rsidP="008851BF"/>
    <w:p w14:paraId="21DDCE35" w14:textId="77777777" w:rsidR="008423E4" w:rsidRPr="00742794" w:rsidRDefault="008423E4" w:rsidP="008851BF">
      <w:pPr>
        <w:tabs>
          <w:tab w:val="right" w:pos="9360"/>
        </w:tabs>
      </w:pPr>
    </w:p>
    <w:tbl>
      <w:tblPr>
        <w:tblW w:w="0" w:type="auto"/>
        <w:tblLayout w:type="fixed"/>
        <w:tblLook w:val="01E0" w:firstRow="1" w:lastRow="1" w:firstColumn="1" w:lastColumn="1" w:noHBand="0" w:noVBand="0"/>
      </w:tblPr>
      <w:tblGrid>
        <w:gridCol w:w="9576"/>
      </w:tblGrid>
      <w:tr w:rsidR="00AB5541" w14:paraId="0C4E68D5" w14:textId="77777777" w:rsidTr="00345119">
        <w:tc>
          <w:tcPr>
            <w:tcW w:w="9576" w:type="dxa"/>
          </w:tcPr>
          <w:p w14:paraId="553C7B2E" w14:textId="111BC36A" w:rsidR="008423E4" w:rsidRPr="00861995" w:rsidRDefault="0004508A" w:rsidP="008851BF">
            <w:pPr>
              <w:jc w:val="right"/>
            </w:pPr>
            <w:r>
              <w:t>S.B. 989</w:t>
            </w:r>
          </w:p>
        </w:tc>
      </w:tr>
      <w:tr w:rsidR="00AB5541" w14:paraId="40289A78" w14:textId="77777777" w:rsidTr="00345119">
        <w:tc>
          <w:tcPr>
            <w:tcW w:w="9576" w:type="dxa"/>
          </w:tcPr>
          <w:p w14:paraId="3718740B" w14:textId="121D4936" w:rsidR="008423E4" w:rsidRPr="00861995" w:rsidRDefault="0004508A" w:rsidP="008851BF">
            <w:pPr>
              <w:jc w:val="right"/>
            </w:pPr>
            <w:r>
              <w:t xml:space="preserve">By: </w:t>
            </w:r>
            <w:r w:rsidR="002705E0">
              <w:t>Huffman</w:t>
            </w:r>
          </w:p>
        </w:tc>
      </w:tr>
      <w:tr w:rsidR="00AB5541" w14:paraId="48FA7990" w14:textId="77777777" w:rsidTr="00345119">
        <w:tc>
          <w:tcPr>
            <w:tcW w:w="9576" w:type="dxa"/>
          </w:tcPr>
          <w:p w14:paraId="70BACA94" w14:textId="6C35B19F" w:rsidR="008423E4" w:rsidRPr="00861995" w:rsidRDefault="0004508A" w:rsidP="008851BF">
            <w:pPr>
              <w:jc w:val="right"/>
            </w:pPr>
            <w:r>
              <w:t>Insurance</w:t>
            </w:r>
          </w:p>
        </w:tc>
      </w:tr>
      <w:tr w:rsidR="00AB5541" w14:paraId="14A4014A" w14:textId="77777777" w:rsidTr="00345119">
        <w:tc>
          <w:tcPr>
            <w:tcW w:w="9576" w:type="dxa"/>
          </w:tcPr>
          <w:p w14:paraId="4C16756F" w14:textId="05D16406" w:rsidR="008423E4" w:rsidRDefault="0004508A" w:rsidP="008851BF">
            <w:pPr>
              <w:jc w:val="right"/>
            </w:pPr>
            <w:r>
              <w:t>Committee Report (Unamended)</w:t>
            </w:r>
          </w:p>
        </w:tc>
      </w:tr>
    </w:tbl>
    <w:p w14:paraId="72D21ED0" w14:textId="77777777" w:rsidR="008423E4" w:rsidRDefault="008423E4" w:rsidP="008851BF">
      <w:pPr>
        <w:tabs>
          <w:tab w:val="right" w:pos="9360"/>
        </w:tabs>
      </w:pPr>
    </w:p>
    <w:p w14:paraId="01F514D7" w14:textId="77777777" w:rsidR="008423E4" w:rsidRDefault="008423E4" w:rsidP="008851BF"/>
    <w:p w14:paraId="322D3893" w14:textId="77777777" w:rsidR="008423E4" w:rsidRDefault="008423E4" w:rsidP="008851BF"/>
    <w:tbl>
      <w:tblPr>
        <w:tblW w:w="0" w:type="auto"/>
        <w:tblCellMar>
          <w:left w:w="115" w:type="dxa"/>
          <w:right w:w="115" w:type="dxa"/>
        </w:tblCellMar>
        <w:tblLook w:val="01E0" w:firstRow="1" w:lastRow="1" w:firstColumn="1" w:lastColumn="1" w:noHBand="0" w:noVBand="0"/>
      </w:tblPr>
      <w:tblGrid>
        <w:gridCol w:w="9360"/>
      </w:tblGrid>
      <w:tr w:rsidR="00AB5541" w14:paraId="10DBF8F9" w14:textId="77777777" w:rsidTr="00345119">
        <w:tc>
          <w:tcPr>
            <w:tcW w:w="9576" w:type="dxa"/>
          </w:tcPr>
          <w:p w14:paraId="0BE0294A" w14:textId="77777777" w:rsidR="008423E4" w:rsidRPr="00A8133F" w:rsidRDefault="0004508A" w:rsidP="008851BF">
            <w:pPr>
              <w:rPr>
                <w:b/>
              </w:rPr>
            </w:pPr>
            <w:r w:rsidRPr="009C1E9A">
              <w:rPr>
                <w:b/>
                <w:u w:val="single"/>
              </w:rPr>
              <w:t>BACKGROUND AND PURPOSE</w:t>
            </w:r>
            <w:r>
              <w:rPr>
                <w:b/>
              </w:rPr>
              <w:t xml:space="preserve"> </w:t>
            </w:r>
          </w:p>
          <w:p w14:paraId="319CA3BF" w14:textId="77777777" w:rsidR="008423E4" w:rsidRDefault="008423E4" w:rsidP="008851BF"/>
          <w:p w14:paraId="65081A3A" w14:textId="77777777" w:rsidR="0064268C" w:rsidRDefault="0004508A" w:rsidP="008851BF">
            <w:pPr>
              <w:pStyle w:val="Header"/>
              <w:jc w:val="both"/>
            </w:pPr>
            <w:r>
              <w:t>Biomarker testing is a feature of precision medicine that allows doctors to use information about</w:t>
            </w:r>
          </w:p>
          <w:p w14:paraId="2B8814FB" w14:textId="31E780BA" w:rsidR="0064268C" w:rsidRDefault="0004508A" w:rsidP="008851BF">
            <w:pPr>
              <w:pStyle w:val="Header"/>
              <w:jc w:val="both"/>
            </w:pPr>
            <w:r>
              <w:t>a person</w:t>
            </w:r>
            <w:r w:rsidR="00AC6CD5">
              <w:t>'</w:t>
            </w:r>
            <w:r>
              <w:t xml:space="preserve">s specific genetic </w:t>
            </w:r>
            <w:r>
              <w:t>variations to inform better diagnosis, prognosis, and therapy selection</w:t>
            </w:r>
          </w:p>
          <w:p w14:paraId="6142A223" w14:textId="675ACDF6" w:rsidR="008423E4" w:rsidRDefault="0004508A" w:rsidP="008851BF">
            <w:pPr>
              <w:pStyle w:val="Header"/>
              <w:jc w:val="both"/>
            </w:pPr>
            <w:r>
              <w:t>for cancer or rare disease patients. Currently, health insurance coverage of biomarker testing is not an across</w:t>
            </w:r>
            <w:r w:rsidR="009A0834">
              <w:t>-</w:t>
            </w:r>
            <w:r>
              <w:t>the</w:t>
            </w:r>
            <w:r w:rsidR="009A0834">
              <w:t>-</w:t>
            </w:r>
            <w:r>
              <w:t>board guarantee, nor is it being consistently reimbursed by the heal</w:t>
            </w:r>
            <w:r>
              <w:t xml:space="preserve">th plans in Texas. S.B. 989 seeks to </w:t>
            </w:r>
            <w:r w:rsidRPr="0064268C">
              <w:t>require a health benefit plan to provide coverage for biomarker testing for the purpose of diagnosis, treatment, appropriate management, or ongoing monitoring of an enrollee's disease or condition to guide treatment whe</w:t>
            </w:r>
            <w:r w:rsidRPr="0064268C">
              <w:t xml:space="preserve">n the test is supported by </w:t>
            </w:r>
            <w:r>
              <w:t>certain</w:t>
            </w:r>
            <w:r w:rsidR="00AC6CD5">
              <w:t xml:space="preserve"> kinds of</w:t>
            </w:r>
            <w:r w:rsidRPr="0064268C">
              <w:t xml:space="preserve"> medical and scientific evidence</w:t>
            </w:r>
            <w:r>
              <w:t xml:space="preserve">. </w:t>
            </w:r>
          </w:p>
          <w:p w14:paraId="54530B0E" w14:textId="77777777" w:rsidR="008423E4" w:rsidRPr="00E26B13" w:rsidRDefault="008423E4" w:rsidP="008851BF">
            <w:pPr>
              <w:rPr>
                <w:b/>
              </w:rPr>
            </w:pPr>
          </w:p>
        </w:tc>
      </w:tr>
      <w:tr w:rsidR="00AB5541" w14:paraId="30478A9F" w14:textId="77777777" w:rsidTr="00345119">
        <w:tc>
          <w:tcPr>
            <w:tcW w:w="9576" w:type="dxa"/>
          </w:tcPr>
          <w:p w14:paraId="61EB169C" w14:textId="77777777" w:rsidR="0017725B" w:rsidRDefault="0004508A" w:rsidP="008851BF">
            <w:pPr>
              <w:rPr>
                <w:b/>
                <w:u w:val="single"/>
              </w:rPr>
            </w:pPr>
            <w:r>
              <w:rPr>
                <w:b/>
                <w:u w:val="single"/>
              </w:rPr>
              <w:t>CRIMINAL JUSTICE IMPACT</w:t>
            </w:r>
          </w:p>
          <w:p w14:paraId="12CF5AAE" w14:textId="77777777" w:rsidR="0017725B" w:rsidRDefault="0017725B" w:rsidP="008851BF">
            <w:pPr>
              <w:rPr>
                <w:b/>
                <w:u w:val="single"/>
              </w:rPr>
            </w:pPr>
          </w:p>
          <w:p w14:paraId="077E8F70" w14:textId="1D517C21" w:rsidR="00A8462C" w:rsidRPr="00A8462C" w:rsidRDefault="0004508A" w:rsidP="008851BF">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3D6A40DF" w14:textId="77777777" w:rsidR="0017725B" w:rsidRPr="0017725B" w:rsidRDefault="0017725B" w:rsidP="008851BF">
            <w:pPr>
              <w:rPr>
                <w:b/>
                <w:u w:val="single"/>
              </w:rPr>
            </w:pPr>
          </w:p>
        </w:tc>
      </w:tr>
      <w:tr w:rsidR="00AB5541" w14:paraId="02102AA0" w14:textId="77777777" w:rsidTr="00345119">
        <w:tc>
          <w:tcPr>
            <w:tcW w:w="9576" w:type="dxa"/>
          </w:tcPr>
          <w:p w14:paraId="439DC6E9" w14:textId="77777777" w:rsidR="008423E4" w:rsidRPr="00A8133F" w:rsidRDefault="0004508A" w:rsidP="008851BF">
            <w:pPr>
              <w:rPr>
                <w:b/>
              </w:rPr>
            </w:pPr>
            <w:r w:rsidRPr="009C1E9A">
              <w:rPr>
                <w:b/>
                <w:u w:val="single"/>
              </w:rPr>
              <w:t>RULEMAKING AUTHORITY</w:t>
            </w:r>
            <w:r>
              <w:rPr>
                <w:b/>
              </w:rPr>
              <w:t xml:space="preserve"> </w:t>
            </w:r>
          </w:p>
          <w:p w14:paraId="16E4A79F" w14:textId="77777777" w:rsidR="008423E4" w:rsidRDefault="008423E4" w:rsidP="008851BF"/>
          <w:p w14:paraId="221D420A" w14:textId="577B31C1" w:rsidR="00A8462C" w:rsidRDefault="0004508A" w:rsidP="008851BF">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47CC4216" w14:textId="77777777" w:rsidR="008423E4" w:rsidRPr="00E21FDC" w:rsidRDefault="008423E4" w:rsidP="008851BF">
            <w:pPr>
              <w:rPr>
                <w:b/>
              </w:rPr>
            </w:pPr>
          </w:p>
        </w:tc>
      </w:tr>
      <w:tr w:rsidR="00AB5541" w14:paraId="4D667828" w14:textId="77777777" w:rsidTr="00345119">
        <w:tc>
          <w:tcPr>
            <w:tcW w:w="9576" w:type="dxa"/>
          </w:tcPr>
          <w:p w14:paraId="413FED6E" w14:textId="77777777" w:rsidR="008423E4" w:rsidRPr="00A8133F" w:rsidRDefault="0004508A" w:rsidP="008851BF">
            <w:pPr>
              <w:rPr>
                <w:b/>
              </w:rPr>
            </w:pPr>
            <w:r w:rsidRPr="009C1E9A">
              <w:rPr>
                <w:b/>
                <w:u w:val="single"/>
              </w:rPr>
              <w:t>ANALYSIS</w:t>
            </w:r>
            <w:r>
              <w:rPr>
                <w:b/>
              </w:rPr>
              <w:t xml:space="preserve"> </w:t>
            </w:r>
          </w:p>
          <w:p w14:paraId="4C845C5F" w14:textId="77777777" w:rsidR="008423E4" w:rsidRDefault="008423E4" w:rsidP="008851BF"/>
          <w:p w14:paraId="31B70F2B" w14:textId="1755BA32" w:rsidR="00D75A0C" w:rsidRDefault="0004508A" w:rsidP="008851BF">
            <w:pPr>
              <w:pStyle w:val="Header"/>
              <w:jc w:val="both"/>
            </w:pPr>
            <w:r>
              <w:t xml:space="preserve">S.B. </w:t>
            </w:r>
            <w:r w:rsidR="00AC6CD5">
              <w:t xml:space="preserve">989 </w:t>
            </w:r>
            <w:r>
              <w:t>amends the Insurance Code to require a health benefit plan</w:t>
            </w:r>
            <w:r>
              <w:t xml:space="preserve"> to provide coverage for biomarker testing for the purpose of diagnosis, treatment, appropriate management, or ongoing monitoring of an enrollee's disease or condition to guide treatment when the test is supported by the following kinds of medical and scie</w:t>
            </w:r>
            <w:r>
              <w:t>ntific evidence</w:t>
            </w:r>
            <w:r w:rsidR="00A8462C">
              <w:t>:</w:t>
            </w:r>
          </w:p>
          <w:p w14:paraId="2992BA45" w14:textId="5923C129" w:rsidR="00D75A0C" w:rsidRDefault="0004508A" w:rsidP="008851BF">
            <w:pPr>
              <w:pStyle w:val="Header"/>
              <w:numPr>
                <w:ilvl w:val="0"/>
                <w:numId w:val="1"/>
              </w:numPr>
              <w:jc w:val="both"/>
            </w:pPr>
            <w:r>
              <w:t xml:space="preserve">a labeled indication for a test approved or cleared by </w:t>
            </w:r>
            <w:r w:rsidR="00A8462C">
              <w:t>FDA</w:t>
            </w:r>
            <w:r>
              <w:t>;</w:t>
            </w:r>
          </w:p>
          <w:p w14:paraId="2102D2CD" w14:textId="269D3297" w:rsidR="00D75A0C" w:rsidRDefault="0004508A" w:rsidP="008851BF">
            <w:pPr>
              <w:pStyle w:val="Header"/>
              <w:numPr>
                <w:ilvl w:val="0"/>
                <w:numId w:val="1"/>
              </w:numPr>
              <w:jc w:val="both"/>
            </w:pPr>
            <w:r>
              <w:t xml:space="preserve">an indicated test for a drug approved by </w:t>
            </w:r>
            <w:r w:rsidR="00A8462C">
              <w:t>FDA</w:t>
            </w:r>
            <w:r>
              <w:t>;</w:t>
            </w:r>
          </w:p>
          <w:p w14:paraId="1C1F65AC" w14:textId="44E774AD" w:rsidR="00D75A0C" w:rsidRDefault="0004508A" w:rsidP="008851BF">
            <w:pPr>
              <w:pStyle w:val="Header"/>
              <w:numPr>
                <w:ilvl w:val="0"/>
                <w:numId w:val="1"/>
              </w:numPr>
              <w:jc w:val="both"/>
            </w:pPr>
            <w:r>
              <w:t xml:space="preserve">a national coverage determination made by the </w:t>
            </w:r>
            <w:r w:rsidR="00A8462C">
              <w:t xml:space="preserve">federal </w:t>
            </w:r>
            <w:r>
              <w:t>Centers for Medicare and Medicaid Services or a local coverage determination ma</w:t>
            </w:r>
            <w:r>
              <w:t>de by a Medicare administrative contractor;</w:t>
            </w:r>
          </w:p>
          <w:p w14:paraId="4F1905D8" w14:textId="3757550E" w:rsidR="00D75A0C" w:rsidRDefault="0004508A" w:rsidP="008851BF">
            <w:pPr>
              <w:pStyle w:val="Header"/>
              <w:numPr>
                <w:ilvl w:val="0"/>
                <w:numId w:val="1"/>
              </w:numPr>
              <w:jc w:val="both"/>
            </w:pPr>
            <w:r>
              <w:t>nationally recognized clinical practice guidelines; or</w:t>
            </w:r>
          </w:p>
          <w:p w14:paraId="0CD876F7" w14:textId="00E999F4" w:rsidR="009C36CD" w:rsidRDefault="0004508A" w:rsidP="008851BF">
            <w:pPr>
              <w:pStyle w:val="Header"/>
              <w:numPr>
                <w:ilvl w:val="0"/>
                <w:numId w:val="1"/>
              </w:numPr>
              <w:tabs>
                <w:tab w:val="clear" w:pos="4320"/>
                <w:tab w:val="clear" w:pos="8640"/>
              </w:tabs>
              <w:jc w:val="both"/>
            </w:pPr>
            <w:r>
              <w:t>consensus statements.</w:t>
            </w:r>
          </w:p>
          <w:p w14:paraId="3FCED332" w14:textId="4ED4C25E" w:rsidR="00161994" w:rsidRDefault="0004508A" w:rsidP="008851BF">
            <w:pPr>
              <w:pStyle w:val="Header"/>
              <w:jc w:val="both"/>
            </w:pPr>
            <w:r>
              <w:t>A</w:t>
            </w:r>
            <w:r w:rsidR="00D75A0C">
              <w:t xml:space="preserve"> health benefit plan issuer </w:t>
            </w:r>
            <w:r>
              <w:t xml:space="preserve">is required to </w:t>
            </w:r>
            <w:r w:rsidR="00D75A0C">
              <w:t xml:space="preserve">provide </w:t>
            </w:r>
            <w:r w:rsidR="00206752">
              <w:t>such</w:t>
            </w:r>
            <w:r w:rsidR="00D75A0C">
              <w:t xml:space="preserve"> coverage only when use of biomarker testing provides clinical utility because use of the test for the condition is evidence-based, scientifically valid</w:t>
            </w:r>
            <w:r w:rsidR="007C44F1">
              <w:t xml:space="preserve"> based on the medical and scientific evidence</w:t>
            </w:r>
            <w:r w:rsidR="00D75A0C">
              <w:t xml:space="preserve">, </w:t>
            </w:r>
            <w:r w:rsidR="007C44F1">
              <w:t xml:space="preserve">informs a patient's </w:t>
            </w:r>
            <w:r w:rsidR="00D75A0C">
              <w:t>outcome</w:t>
            </w:r>
            <w:r w:rsidR="007C44F1">
              <w:t xml:space="preserve"> and a provider's clinical decision</w:t>
            </w:r>
            <w:r w:rsidR="00AA5F18">
              <w:t>,</w:t>
            </w:r>
            <w:r w:rsidR="009175B8">
              <w:t xml:space="preserve"> </w:t>
            </w:r>
            <w:r w:rsidR="00D75A0C">
              <w:t>and predominately addresses the acute</w:t>
            </w:r>
            <w:r w:rsidR="007C44F1">
              <w:t xml:space="preserve"> or chronic</w:t>
            </w:r>
            <w:r w:rsidR="00D75A0C">
              <w:t xml:space="preserve"> issue for which the test is being ordered, except that a test may include some information that cannot be immediately used in the formulation of a clinical decision.</w:t>
            </w:r>
            <w:r w:rsidR="00206752">
              <w:t xml:space="preserve"> </w:t>
            </w:r>
            <w:r w:rsidR="00D75A0C">
              <w:t xml:space="preserve">A health benefit plan must provide </w:t>
            </w:r>
            <w:r w:rsidR="00206752">
              <w:t>th</w:t>
            </w:r>
            <w:r w:rsidR="00612CB9">
              <w:t>at</w:t>
            </w:r>
            <w:r w:rsidR="00206752">
              <w:t xml:space="preserve"> </w:t>
            </w:r>
            <w:r w:rsidR="00D75A0C">
              <w:t>coverage in a manner that limits disruptions in care, including limiting the number of biopsies and biospecimen samples.</w:t>
            </w:r>
            <w:r w:rsidR="00CB2AFE">
              <w:t xml:space="preserve"> </w:t>
            </w:r>
          </w:p>
          <w:p w14:paraId="229A9998" w14:textId="5CB865A8" w:rsidR="00CD2237" w:rsidRDefault="00CD2237" w:rsidP="008851BF">
            <w:pPr>
              <w:pStyle w:val="Header"/>
              <w:jc w:val="both"/>
            </w:pPr>
          </w:p>
          <w:p w14:paraId="2920D5FE" w14:textId="3B390AB9" w:rsidR="00CD2237" w:rsidRDefault="0004508A" w:rsidP="008851BF">
            <w:pPr>
              <w:pStyle w:val="Header"/>
              <w:keepNext/>
              <w:jc w:val="both"/>
            </w:pPr>
            <w:r>
              <w:t>S.B. 989 defines the following terms:</w:t>
            </w:r>
          </w:p>
          <w:p w14:paraId="165D3FEA" w14:textId="3B535819" w:rsidR="00CD2237" w:rsidRDefault="0004508A" w:rsidP="008851BF">
            <w:pPr>
              <w:pStyle w:val="Header"/>
              <w:keepNext/>
              <w:numPr>
                <w:ilvl w:val="0"/>
                <w:numId w:val="5"/>
              </w:numPr>
              <w:jc w:val="both"/>
            </w:pPr>
            <w:r w:rsidRPr="00CD2237">
              <w:t>"</w:t>
            </w:r>
            <w:r>
              <w:t>b</w:t>
            </w:r>
            <w:r w:rsidRPr="00CD2237">
              <w:t xml:space="preserve">iomarker" </w:t>
            </w:r>
            <w:r>
              <w:t>a</w:t>
            </w:r>
            <w:r w:rsidRPr="00CD2237">
              <w:t xml:space="preserve">s a characteristic that is objectively measured and evaluated as an indicator of normal biological processes, pathogenic processes, or </w:t>
            </w:r>
            <w:r w:rsidRPr="00CD2237">
              <w:t>pharmacologic responses to a specific therapeutic intervention</w:t>
            </w:r>
            <w:r>
              <w:t>,</w:t>
            </w:r>
            <w:r w:rsidRPr="00CD2237">
              <w:t xml:space="preserve"> includ</w:t>
            </w:r>
            <w:r>
              <w:t>ing gene mutations and protein expression;</w:t>
            </w:r>
          </w:p>
          <w:p w14:paraId="07678E27" w14:textId="73F4C870" w:rsidR="00CD2237" w:rsidRDefault="0004508A" w:rsidP="008851BF">
            <w:pPr>
              <w:pStyle w:val="Header"/>
              <w:numPr>
                <w:ilvl w:val="0"/>
                <w:numId w:val="5"/>
              </w:numPr>
              <w:jc w:val="both"/>
            </w:pPr>
            <w:r w:rsidRPr="00CD2237">
              <w:t>"</w:t>
            </w:r>
            <w:r>
              <w:t>b</w:t>
            </w:r>
            <w:r w:rsidRPr="00CD2237">
              <w:t xml:space="preserve">iomarker testing" </w:t>
            </w:r>
            <w:r>
              <w:t>as</w:t>
            </w:r>
            <w:r w:rsidRPr="00CD2237">
              <w:t xml:space="preserve"> the analysis of a patient's tissue, blood, or other biospecimen for the presence of a biomarker</w:t>
            </w:r>
            <w:r>
              <w:t xml:space="preserve">, including </w:t>
            </w:r>
            <w:r w:rsidRPr="00CD2237">
              <w:t>single-analyte tests</w:t>
            </w:r>
            <w:r>
              <w:t xml:space="preserve">, </w:t>
            </w:r>
            <w:r w:rsidRPr="00CD2237">
              <w:t>multiplex panel tests</w:t>
            </w:r>
            <w:r>
              <w:t>, and whole genome sequencing;</w:t>
            </w:r>
          </w:p>
          <w:p w14:paraId="10BA5731" w14:textId="034B7EC9" w:rsidR="00CD2237" w:rsidRDefault="0004508A" w:rsidP="008851BF">
            <w:pPr>
              <w:pStyle w:val="Header"/>
              <w:numPr>
                <w:ilvl w:val="0"/>
                <w:numId w:val="5"/>
              </w:numPr>
              <w:jc w:val="both"/>
            </w:pPr>
            <w:r w:rsidRPr="00CD2237">
              <w:t>"</w:t>
            </w:r>
            <w:r w:rsidR="00AD17B9">
              <w:t>c</w:t>
            </w:r>
            <w:r w:rsidRPr="00CD2237">
              <w:t xml:space="preserve">onsensus statements" </w:t>
            </w:r>
            <w:r w:rsidR="00AD17B9">
              <w:t>a</w:t>
            </w:r>
            <w:r w:rsidRPr="00CD2237">
              <w:t>s statements that</w:t>
            </w:r>
            <w:r w:rsidR="00AD17B9">
              <w:t xml:space="preserve"> </w:t>
            </w:r>
            <w:r w:rsidRPr="00CD2237">
              <w:t>address specific clinical circum</w:t>
            </w:r>
            <w:r w:rsidRPr="00CD2237">
              <w:t>stances based on the best available evidence for the purpose of optimizing clinical care outcomes</w:t>
            </w:r>
            <w:r>
              <w:t xml:space="preserve"> and </w:t>
            </w:r>
            <w:r w:rsidRPr="00CD2237">
              <w:t>are developed by an independent, multidisciplinary panel of experts that uses a transparent methodology and reporting structure and is subject to a confli</w:t>
            </w:r>
            <w:r w:rsidRPr="00CD2237">
              <w:t>ct of interest policy</w:t>
            </w:r>
            <w:r>
              <w:t>; and</w:t>
            </w:r>
          </w:p>
          <w:p w14:paraId="5694EA3F" w14:textId="34D5757B" w:rsidR="00CD2237" w:rsidRDefault="0004508A" w:rsidP="008851BF">
            <w:pPr>
              <w:pStyle w:val="Header"/>
              <w:numPr>
                <w:ilvl w:val="0"/>
                <w:numId w:val="5"/>
              </w:numPr>
              <w:jc w:val="both"/>
            </w:pPr>
            <w:r>
              <w:t>"n</w:t>
            </w:r>
            <w:r w:rsidRPr="00CD2237">
              <w:t xml:space="preserve">ationally recognized clinical practice guidelines" </w:t>
            </w:r>
            <w:r>
              <w:t>a</w:t>
            </w:r>
            <w:r w:rsidRPr="00CD2237">
              <w:t>s evidence-based clinical practice guidelines that</w:t>
            </w:r>
            <w:r>
              <w:t xml:space="preserve"> </w:t>
            </w:r>
            <w:r w:rsidRPr="00CD2237">
              <w:t>establish a standard of care informed by a systematic review of evidence and an assessment of the benefits and costs of alte</w:t>
            </w:r>
            <w:r w:rsidRPr="00CD2237">
              <w:t>rnative care options</w:t>
            </w:r>
            <w:r>
              <w:t xml:space="preserve">, </w:t>
            </w:r>
            <w:r w:rsidRPr="00CD2237">
              <w:t>include recommendations intended to optimize patient care</w:t>
            </w:r>
            <w:r w:rsidR="00AD17B9">
              <w:t>,</w:t>
            </w:r>
            <w:r w:rsidRPr="00CD2237">
              <w:t xml:space="preserve"> and</w:t>
            </w:r>
            <w:r>
              <w:t xml:space="preserve"> </w:t>
            </w:r>
            <w:r w:rsidRPr="00CD2237">
              <w:t>are developed by an independent organization or medical professional society that uses a transparent methodology and reporting structure and is subject to a conflict of in</w:t>
            </w:r>
            <w:r w:rsidRPr="00CD2237">
              <w:t>terest policy.</w:t>
            </w:r>
          </w:p>
          <w:p w14:paraId="399DEFFD" w14:textId="7B0C842A" w:rsidR="00206752" w:rsidRDefault="00206752" w:rsidP="008851BF">
            <w:pPr>
              <w:pStyle w:val="Header"/>
              <w:jc w:val="both"/>
            </w:pPr>
          </w:p>
          <w:p w14:paraId="2A37357F" w14:textId="28013480" w:rsidR="00206752" w:rsidRPr="009C36CD" w:rsidRDefault="0004508A" w:rsidP="008851BF">
            <w:pPr>
              <w:pStyle w:val="Header"/>
              <w:jc w:val="both"/>
            </w:pPr>
            <w:r>
              <w:t xml:space="preserve">S.B. </w:t>
            </w:r>
            <w:r w:rsidR="00AC6CD5">
              <w:t xml:space="preserve">989 </w:t>
            </w:r>
            <w:r w:rsidR="00A8462C">
              <w:t xml:space="preserve">specifies the types of plans and sources of coverage to which its provisions apply. The bill provides for the delayed implementation of any provision for which an applicable state agency determines a federal waiver or authorization is necessary for implementation until the waiver or authorization is requested and granted. The bill's provisions </w:t>
            </w:r>
            <w:r w:rsidR="00A8462C" w:rsidRPr="00206752">
              <w:t>appl</w:t>
            </w:r>
            <w:r w:rsidR="00A8462C">
              <w:t xml:space="preserve">y </w:t>
            </w:r>
            <w:r w:rsidR="00A8462C" w:rsidRPr="00206752">
              <w:t>only to a health benefit plan that is delivered, issued for delivery, or renewed on or after January 1, 2024.</w:t>
            </w:r>
          </w:p>
          <w:p w14:paraId="67589C06" w14:textId="77777777" w:rsidR="008423E4" w:rsidRPr="00835628" w:rsidRDefault="008423E4" w:rsidP="008851BF">
            <w:pPr>
              <w:rPr>
                <w:b/>
              </w:rPr>
            </w:pPr>
          </w:p>
        </w:tc>
      </w:tr>
      <w:tr w:rsidR="00AB5541" w14:paraId="2BE4625F" w14:textId="77777777" w:rsidTr="00345119">
        <w:tc>
          <w:tcPr>
            <w:tcW w:w="9576" w:type="dxa"/>
          </w:tcPr>
          <w:p w14:paraId="6F1C7889" w14:textId="77777777" w:rsidR="008423E4" w:rsidRPr="00A8133F" w:rsidRDefault="0004508A" w:rsidP="008851BF">
            <w:pPr>
              <w:rPr>
                <w:b/>
              </w:rPr>
            </w:pPr>
            <w:r w:rsidRPr="009C1E9A">
              <w:rPr>
                <w:b/>
                <w:u w:val="single"/>
              </w:rPr>
              <w:t>EFFECTIVE DATE</w:t>
            </w:r>
            <w:r>
              <w:rPr>
                <w:b/>
              </w:rPr>
              <w:t xml:space="preserve"> </w:t>
            </w:r>
          </w:p>
          <w:p w14:paraId="32491017" w14:textId="77777777" w:rsidR="008423E4" w:rsidRDefault="008423E4" w:rsidP="008851BF"/>
          <w:p w14:paraId="37FB009F" w14:textId="7BA6A5DD" w:rsidR="008423E4" w:rsidRPr="003624F2" w:rsidRDefault="0004508A" w:rsidP="008851BF">
            <w:pPr>
              <w:pStyle w:val="Header"/>
              <w:tabs>
                <w:tab w:val="clear" w:pos="4320"/>
                <w:tab w:val="clear" w:pos="8640"/>
              </w:tabs>
              <w:jc w:val="both"/>
            </w:pPr>
            <w:r>
              <w:t>Septem</w:t>
            </w:r>
            <w:r>
              <w:t>ber 1, 2023.</w:t>
            </w:r>
          </w:p>
          <w:p w14:paraId="3353AB6E" w14:textId="77777777" w:rsidR="008423E4" w:rsidRPr="00233FDB" w:rsidRDefault="008423E4" w:rsidP="008851BF">
            <w:pPr>
              <w:rPr>
                <w:b/>
              </w:rPr>
            </w:pPr>
          </w:p>
        </w:tc>
      </w:tr>
    </w:tbl>
    <w:p w14:paraId="739E8DF5" w14:textId="77777777" w:rsidR="008423E4" w:rsidRPr="00BE0E75" w:rsidRDefault="008423E4" w:rsidP="008851BF">
      <w:pPr>
        <w:jc w:val="both"/>
        <w:rPr>
          <w:rFonts w:ascii="Arial" w:hAnsi="Arial"/>
          <w:sz w:val="16"/>
          <w:szCs w:val="16"/>
        </w:rPr>
      </w:pPr>
    </w:p>
    <w:p w14:paraId="24B8D9BB" w14:textId="77777777" w:rsidR="004108C3" w:rsidRPr="008423E4" w:rsidRDefault="004108C3" w:rsidP="008851B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A014" w14:textId="77777777" w:rsidR="00000000" w:rsidRDefault="0004508A">
      <w:r>
        <w:separator/>
      </w:r>
    </w:p>
  </w:endnote>
  <w:endnote w:type="continuationSeparator" w:id="0">
    <w:p w14:paraId="322B63E6" w14:textId="77777777" w:rsidR="00000000" w:rsidRDefault="0004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235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B5541" w14:paraId="4C56601A" w14:textId="77777777" w:rsidTr="009C1E9A">
      <w:trPr>
        <w:cantSplit/>
      </w:trPr>
      <w:tc>
        <w:tcPr>
          <w:tcW w:w="0" w:type="pct"/>
        </w:tcPr>
        <w:p w14:paraId="1FC38DCE" w14:textId="77777777" w:rsidR="00137D90" w:rsidRDefault="00137D90" w:rsidP="009C1E9A">
          <w:pPr>
            <w:pStyle w:val="Footer"/>
            <w:tabs>
              <w:tab w:val="clear" w:pos="8640"/>
              <w:tab w:val="right" w:pos="9360"/>
            </w:tabs>
          </w:pPr>
        </w:p>
      </w:tc>
      <w:tc>
        <w:tcPr>
          <w:tcW w:w="2395" w:type="pct"/>
        </w:tcPr>
        <w:p w14:paraId="2C23E17E" w14:textId="77777777" w:rsidR="00137D90" w:rsidRDefault="00137D90" w:rsidP="009C1E9A">
          <w:pPr>
            <w:pStyle w:val="Footer"/>
            <w:tabs>
              <w:tab w:val="clear" w:pos="8640"/>
              <w:tab w:val="right" w:pos="9360"/>
            </w:tabs>
          </w:pPr>
        </w:p>
        <w:p w14:paraId="778E6773" w14:textId="77777777" w:rsidR="001A4310" w:rsidRDefault="001A4310" w:rsidP="009C1E9A">
          <w:pPr>
            <w:pStyle w:val="Footer"/>
            <w:tabs>
              <w:tab w:val="clear" w:pos="8640"/>
              <w:tab w:val="right" w:pos="9360"/>
            </w:tabs>
          </w:pPr>
        </w:p>
        <w:p w14:paraId="2D23AE53" w14:textId="77777777" w:rsidR="00137D90" w:rsidRDefault="00137D90" w:rsidP="009C1E9A">
          <w:pPr>
            <w:pStyle w:val="Footer"/>
            <w:tabs>
              <w:tab w:val="clear" w:pos="8640"/>
              <w:tab w:val="right" w:pos="9360"/>
            </w:tabs>
          </w:pPr>
        </w:p>
      </w:tc>
      <w:tc>
        <w:tcPr>
          <w:tcW w:w="2453" w:type="pct"/>
        </w:tcPr>
        <w:p w14:paraId="4CE37042" w14:textId="77777777" w:rsidR="00137D90" w:rsidRDefault="00137D90" w:rsidP="009C1E9A">
          <w:pPr>
            <w:pStyle w:val="Footer"/>
            <w:tabs>
              <w:tab w:val="clear" w:pos="8640"/>
              <w:tab w:val="right" w:pos="9360"/>
            </w:tabs>
            <w:jc w:val="right"/>
          </w:pPr>
        </w:p>
      </w:tc>
    </w:tr>
    <w:tr w:rsidR="00AB5541" w14:paraId="36B918CD" w14:textId="77777777" w:rsidTr="009C1E9A">
      <w:trPr>
        <w:cantSplit/>
      </w:trPr>
      <w:tc>
        <w:tcPr>
          <w:tcW w:w="0" w:type="pct"/>
        </w:tcPr>
        <w:p w14:paraId="28B1B444" w14:textId="77777777" w:rsidR="00EC379B" w:rsidRDefault="00EC379B" w:rsidP="009C1E9A">
          <w:pPr>
            <w:pStyle w:val="Footer"/>
            <w:tabs>
              <w:tab w:val="clear" w:pos="8640"/>
              <w:tab w:val="right" w:pos="9360"/>
            </w:tabs>
          </w:pPr>
        </w:p>
      </w:tc>
      <w:tc>
        <w:tcPr>
          <w:tcW w:w="2395" w:type="pct"/>
        </w:tcPr>
        <w:p w14:paraId="445D60FB" w14:textId="4E420F46" w:rsidR="00EC379B" w:rsidRPr="009C1E9A" w:rsidRDefault="0004508A" w:rsidP="009C1E9A">
          <w:pPr>
            <w:pStyle w:val="Footer"/>
            <w:tabs>
              <w:tab w:val="clear" w:pos="8640"/>
              <w:tab w:val="right" w:pos="9360"/>
            </w:tabs>
            <w:rPr>
              <w:rFonts w:ascii="Shruti" w:hAnsi="Shruti"/>
              <w:sz w:val="22"/>
            </w:rPr>
          </w:pPr>
          <w:r>
            <w:rPr>
              <w:rFonts w:ascii="Shruti" w:hAnsi="Shruti"/>
              <w:sz w:val="22"/>
            </w:rPr>
            <w:t>88R 27279-D</w:t>
          </w:r>
        </w:p>
      </w:tc>
      <w:tc>
        <w:tcPr>
          <w:tcW w:w="2453" w:type="pct"/>
        </w:tcPr>
        <w:p w14:paraId="4D5E5393" w14:textId="219C408B" w:rsidR="00EC379B" w:rsidRDefault="0004508A" w:rsidP="009C1E9A">
          <w:pPr>
            <w:pStyle w:val="Footer"/>
            <w:tabs>
              <w:tab w:val="clear" w:pos="8640"/>
              <w:tab w:val="right" w:pos="9360"/>
            </w:tabs>
            <w:jc w:val="right"/>
          </w:pPr>
          <w:r>
            <w:fldChar w:fldCharType="begin"/>
          </w:r>
          <w:r>
            <w:instrText xml:space="preserve"> DOCPROPERTY  OTID  \* MERGEFORMAT </w:instrText>
          </w:r>
          <w:r>
            <w:fldChar w:fldCharType="separate"/>
          </w:r>
          <w:r w:rsidR="00A87C4A">
            <w:t>23.120.148</w:t>
          </w:r>
          <w:r>
            <w:fldChar w:fldCharType="end"/>
          </w:r>
        </w:p>
      </w:tc>
    </w:tr>
    <w:tr w:rsidR="00AB5541" w14:paraId="1DB19462" w14:textId="77777777" w:rsidTr="009C1E9A">
      <w:trPr>
        <w:cantSplit/>
      </w:trPr>
      <w:tc>
        <w:tcPr>
          <w:tcW w:w="0" w:type="pct"/>
        </w:tcPr>
        <w:p w14:paraId="75F9479C" w14:textId="77777777" w:rsidR="00EC379B" w:rsidRDefault="00EC379B" w:rsidP="009C1E9A">
          <w:pPr>
            <w:pStyle w:val="Footer"/>
            <w:tabs>
              <w:tab w:val="clear" w:pos="4320"/>
              <w:tab w:val="clear" w:pos="8640"/>
              <w:tab w:val="left" w:pos="2865"/>
            </w:tabs>
          </w:pPr>
        </w:p>
      </w:tc>
      <w:tc>
        <w:tcPr>
          <w:tcW w:w="2395" w:type="pct"/>
        </w:tcPr>
        <w:p w14:paraId="773D356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23611C7" w14:textId="77777777" w:rsidR="00EC379B" w:rsidRDefault="00EC379B" w:rsidP="006D504F">
          <w:pPr>
            <w:pStyle w:val="Footer"/>
            <w:rPr>
              <w:rStyle w:val="PageNumber"/>
            </w:rPr>
          </w:pPr>
        </w:p>
        <w:p w14:paraId="6F54A7AD" w14:textId="77777777" w:rsidR="00EC379B" w:rsidRDefault="00EC379B" w:rsidP="009C1E9A">
          <w:pPr>
            <w:pStyle w:val="Footer"/>
            <w:tabs>
              <w:tab w:val="clear" w:pos="8640"/>
              <w:tab w:val="right" w:pos="9360"/>
            </w:tabs>
            <w:jc w:val="right"/>
          </w:pPr>
        </w:p>
      </w:tc>
    </w:tr>
    <w:tr w:rsidR="00AB5541" w14:paraId="2342683F" w14:textId="77777777" w:rsidTr="009C1E9A">
      <w:trPr>
        <w:cantSplit/>
        <w:trHeight w:val="323"/>
      </w:trPr>
      <w:tc>
        <w:tcPr>
          <w:tcW w:w="0" w:type="pct"/>
          <w:gridSpan w:val="3"/>
        </w:tcPr>
        <w:p w14:paraId="409639CF" w14:textId="77777777" w:rsidR="00EC379B" w:rsidRDefault="0004508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349B9B" w14:textId="77777777" w:rsidR="00EC379B" w:rsidRDefault="00EC379B" w:rsidP="009C1E9A">
          <w:pPr>
            <w:pStyle w:val="Footer"/>
            <w:tabs>
              <w:tab w:val="clear" w:pos="8640"/>
              <w:tab w:val="right" w:pos="9360"/>
            </w:tabs>
            <w:jc w:val="center"/>
          </w:pPr>
        </w:p>
      </w:tc>
    </w:tr>
  </w:tbl>
  <w:p w14:paraId="45A5F1A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6C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78FC" w14:textId="77777777" w:rsidR="00000000" w:rsidRDefault="0004508A">
      <w:r>
        <w:separator/>
      </w:r>
    </w:p>
  </w:footnote>
  <w:footnote w:type="continuationSeparator" w:id="0">
    <w:p w14:paraId="4B15F689" w14:textId="77777777" w:rsidR="00000000" w:rsidRDefault="0004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9E3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EBC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292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35F"/>
    <w:multiLevelType w:val="hybridMultilevel"/>
    <w:tmpl w:val="921A5980"/>
    <w:lvl w:ilvl="0" w:tplc="740A1D02">
      <w:start w:val="1"/>
      <w:numFmt w:val="bullet"/>
      <w:lvlText w:val=""/>
      <w:lvlJc w:val="left"/>
      <w:pPr>
        <w:tabs>
          <w:tab w:val="num" w:pos="720"/>
        </w:tabs>
        <w:ind w:left="720" w:hanging="360"/>
      </w:pPr>
      <w:rPr>
        <w:rFonts w:ascii="Symbol" w:hAnsi="Symbol" w:hint="default"/>
      </w:rPr>
    </w:lvl>
    <w:lvl w:ilvl="1" w:tplc="4FD89720" w:tentative="1">
      <w:start w:val="1"/>
      <w:numFmt w:val="bullet"/>
      <w:lvlText w:val="o"/>
      <w:lvlJc w:val="left"/>
      <w:pPr>
        <w:ind w:left="1440" w:hanging="360"/>
      </w:pPr>
      <w:rPr>
        <w:rFonts w:ascii="Courier New" w:hAnsi="Courier New" w:cs="Courier New" w:hint="default"/>
      </w:rPr>
    </w:lvl>
    <w:lvl w:ilvl="2" w:tplc="4AA87198" w:tentative="1">
      <w:start w:val="1"/>
      <w:numFmt w:val="bullet"/>
      <w:lvlText w:val=""/>
      <w:lvlJc w:val="left"/>
      <w:pPr>
        <w:ind w:left="2160" w:hanging="360"/>
      </w:pPr>
      <w:rPr>
        <w:rFonts w:ascii="Wingdings" w:hAnsi="Wingdings" w:hint="default"/>
      </w:rPr>
    </w:lvl>
    <w:lvl w:ilvl="3" w:tplc="579C9080" w:tentative="1">
      <w:start w:val="1"/>
      <w:numFmt w:val="bullet"/>
      <w:lvlText w:val=""/>
      <w:lvlJc w:val="left"/>
      <w:pPr>
        <w:ind w:left="2880" w:hanging="360"/>
      </w:pPr>
      <w:rPr>
        <w:rFonts w:ascii="Symbol" w:hAnsi="Symbol" w:hint="default"/>
      </w:rPr>
    </w:lvl>
    <w:lvl w:ilvl="4" w:tplc="F4ACFECE" w:tentative="1">
      <w:start w:val="1"/>
      <w:numFmt w:val="bullet"/>
      <w:lvlText w:val="o"/>
      <w:lvlJc w:val="left"/>
      <w:pPr>
        <w:ind w:left="3600" w:hanging="360"/>
      </w:pPr>
      <w:rPr>
        <w:rFonts w:ascii="Courier New" w:hAnsi="Courier New" w:cs="Courier New" w:hint="default"/>
      </w:rPr>
    </w:lvl>
    <w:lvl w:ilvl="5" w:tplc="F2E2599C" w:tentative="1">
      <w:start w:val="1"/>
      <w:numFmt w:val="bullet"/>
      <w:lvlText w:val=""/>
      <w:lvlJc w:val="left"/>
      <w:pPr>
        <w:ind w:left="4320" w:hanging="360"/>
      </w:pPr>
      <w:rPr>
        <w:rFonts w:ascii="Wingdings" w:hAnsi="Wingdings" w:hint="default"/>
      </w:rPr>
    </w:lvl>
    <w:lvl w:ilvl="6" w:tplc="1F7AFF28" w:tentative="1">
      <w:start w:val="1"/>
      <w:numFmt w:val="bullet"/>
      <w:lvlText w:val=""/>
      <w:lvlJc w:val="left"/>
      <w:pPr>
        <w:ind w:left="5040" w:hanging="360"/>
      </w:pPr>
      <w:rPr>
        <w:rFonts w:ascii="Symbol" w:hAnsi="Symbol" w:hint="default"/>
      </w:rPr>
    </w:lvl>
    <w:lvl w:ilvl="7" w:tplc="5162872C" w:tentative="1">
      <w:start w:val="1"/>
      <w:numFmt w:val="bullet"/>
      <w:lvlText w:val="o"/>
      <w:lvlJc w:val="left"/>
      <w:pPr>
        <w:ind w:left="5760" w:hanging="360"/>
      </w:pPr>
      <w:rPr>
        <w:rFonts w:ascii="Courier New" w:hAnsi="Courier New" w:cs="Courier New" w:hint="default"/>
      </w:rPr>
    </w:lvl>
    <w:lvl w:ilvl="8" w:tplc="3AA66C30" w:tentative="1">
      <w:start w:val="1"/>
      <w:numFmt w:val="bullet"/>
      <w:lvlText w:val=""/>
      <w:lvlJc w:val="left"/>
      <w:pPr>
        <w:ind w:left="6480" w:hanging="360"/>
      </w:pPr>
      <w:rPr>
        <w:rFonts w:ascii="Wingdings" w:hAnsi="Wingdings" w:hint="default"/>
      </w:rPr>
    </w:lvl>
  </w:abstractNum>
  <w:abstractNum w:abstractNumId="1" w15:restartNumberingAfterBreak="0">
    <w:nsid w:val="1879195C"/>
    <w:multiLevelType w:val="hybridMultilevel"/>
    <w:tmpl w:val="811A2C24"/>
    <w:lvl w:ilvl="0" w:tplc="E72AD138">
      <w:start w:val="1"/>
      <w:numFmt w:val="decimal"/>
      <w:lvlText w:val="(%1)"/>
      <w:lvlJc w:val="left"/>
      <w:pPr>
        <w:ind w:left="825" w:hanging="465"/>
      </w:pPr>
      <w:rPr>
        <w:rFonts w:hint="default"/>
      </w:rPr>
    </w:lvl>
    <w:lvl w:ilvl="1" w:tplc="0638CB3E" w:tentative="1">
      <w:start w:val="1"/>
      <w:numFmt w:val="lowerLetter"/>
      <w:lvlText w:val="%2."/>
      <w:lvlJc w:val="left"/>
      <w:pPr>
        <w:ind w:left="1440" w:hanging="360"/>
      </w:pPr>
    </w:lvl>
    <w:lvl w:ilvl="2" w:tplc="7ED406E8" w:tentative="1">
      <w:start w:val="1"/>
      <w:numFmt w:val="lowerRoman"/>
      <w:lvlText w:val="%3."/>
      <w:lvlJc w:val="right"/>
      <w:pPr>
        <w:ind w:left="2160" w:hanging="180"/>
      </w:pPr>
    </w:lvl>
    <w:lvl w:ilvl="3" w:tplc="54EC7B28" w:tentative="1">
      <w:start w:val="1"/>
      <w:numFmt w:val="decimal"/>
      <w:lvlText w:val="%4."/>
      <w:lvlJc w:val="left"/>
      <w:pPr>
        <w:ind w:left="2880" w:hanging="360"/>
      </w:pPr>
    </w:lvl>
    <w:lvl w:ilvl="4" w:tplc="3858017C" w:tentative="1">
      <w:start w:val="1"/>
      <w:numFmt w:val="lowerLetter"/>
      <w:lvlText w:val="%5."/>
      <w:lvlJc w:val="left"/>
      <w:pPr>
        <w:ind w:left="3600" w:hanging="360"/>
      </w:pPr>
    </w:lvl>
    <w:lvl w:ilvl="5" w:tplc="4ED234AA" w:tentative="1">
      <w:start w:val="1"/>
      <w:numFmt w:val="lowerRoman"/>
      <w:lvlText w:val="%6."/>
      <w:lvlJc w:val="right"/>
      <w:pPr>
        <w:ind w:left="4320" w:hanging="180"/>
      </w:pPr>
    </w:lvl>
    <w:lvl w:ilvl="6" w:tplc="DEA86CDE" w:tentative="1">
      <w:start w:val="1"/>
      <w:numFmt w:val="decimal"/>
      <w:lvlText w:val="%7."/>
      <w:lvlJc w:val="left"/>
      <w:pPr>
        <w:ind w:left="5040" w:hanging="360"/>
      </w:pPr>
    </w:lvl>
    <w:lvl w:ilvl="7" w:tplc="FA120F6C" w:tentative="1">
      <w:start w:val="1"/>
      <w:numFmt w:val="lowerLetter"/>
      <w:lvlText w:val="%8."/>
      <w:lvlJc w:val="left"/>
      <w:pPr>
        <w:ind w:left="5760" w:hanging="360"/>
      </w:pPr>
    </w:lvl>
    <w:lvl w:ilvl="8" w:tplc="02D62A8C" w:tentative="1">
      <w:start w:val="1"/>
      <w:numFmt w:val="lowerRoman"/>
      <w:lvlText w:val="%9."/>
      <w:lvlJc w:val="right"/>
      <w:pPr>
        <w:ind w:left="6480" w:hanging="180"/>
      </w:pPr>
    </w:lvl>
  </w:abstractNum>
  <w:abstractNum w:abstractNumId="2" w15:restartNumberingAfterBreak="0">
    <w:nsid w:val="56F52FA8"/>
    <w:multiLevelType w:val="hybridMultilevel"/>
    <w:tmpl w:val="D76E44EA"/>
    <w:lvl w:ilvl="0" w:tplc="F19C8E50">
      <w:start w:val="1"/>
      <w:numFmt w:val="bullet"/>
      <w:lvlText w:val=""/>
      <w:lvlJc w:val="left"/>
      <w:pPr>
        <w:tabs>
          <w:tab w:val="num" w:pos="720"/>
        </w:tabs>
        <w:ind w:left="720" w:hanging="360"/>
      </w:pPr>
      <w:rPr>
        <w:rFonts w:ascii="Symbol" w:hAnsi="Symbol" w:hint="default"/>
      </w:rPr>
    </w:lvl>
    <w:lvl w:ilvl="1" w:tplc="4022A49A" w:tentative="1">
      <w:start w:val="1"/>
      <w:numFmt w:val="bullet"/>
      <w:lvlText w:val="o"/>
      <w:lvlJc w:val="left"/>
      <w:pPr>
        <w:ind w:left="1440" w:hanging="360"/>
      </w:pPr>
      <w:rPr>
        <w:rFonts w:ascii="Courier New" w:hAnsi="Courier New" w:cs="Courier New" w:hint="default"/>
      </w:rPr>
    </w:lvl>
    <w:lvl w:ilvl="2" w:tplc="23B2D154" w:tentative="1">
      <w:start w:val="1"/>
      <w:numFmt w:val="bullet"/>
      <w:lvlText w:val=""/>
      <w:lvlJc w:val="left"/>
      <w:pPr>
        <w:ind w:left="2160" w:hanging="360"/>
      </w:pPr>
      <w:rPr>
        <w:rFonts w:ascii="Wingdings" w:hAnsi="Wingdings" w:hint="default"/>
      </w:rPr>
    </w:lvl>
    <w:lvl w:ilvl="3" w:tplc="0F20C42A" w:tentative="1">
      <w:start w:val="1"/>
      <w:numFmt w:val="bullet"/>
      <w:lvlText w:val=""/>
      <w:lvlJc w:val="left"/>
      <w:pPr>
        <w:ind w:left="2880" w:hanging="360"/>
      </w:pPr>
      <w:rPr>
        <w:rFonts w:ascii="Symbol" w:hAnsi="Symbol" w:hint="default"/>
      </w:rPr>
    </w:lvl>
    <w:lvl w:ilvl="4" w:tplc="2CD07AD6" w:tentative="1">
      <w:start w:val="1"/>
      <w:numFmt w:val="bullet"/>
      <w:lvlText w:val="o"/>
      <w:lvlJc w:val="left"/>
      <w:pPr>
        <w:ind w:left="3600" w:hanging="360"/>
      </w:pPr>
      <w:rPr>
        <w:rFonts w:ascii="Courier New" w:hAnsi="Courier New" w:cs="Courier New" w:hint="default"/>
      </w:rPr>
    </w:lvl>
    <w:lvl w:ilvl="5" w:tplc="E5A6A0DA" w:tentative="1">
      <w:start w:val="1"/>
      <w:numFmt w:val="bullet"/>
      <w:lvlText w:val=""/>
      <w:lvlJc w:val="left"/>
      <w:pPr>
        <w:ind w:left="4320" w:hanging="360"/>
      </w:pPr>
      <w:rPr>
        <w:rFonts w:ascii="Wingdings" w:hAnsi="Wingdings" w:hint="default"/>
      </w:rPr>
    </w:lvl>
    <w:lvl w:ilvl="6" w:tplc="75C21246" w:tentative="1">
      <w:start w:val="1"/>
      <w:numFmt w:val="bullet"/>
      <w:lvlText w:val=""/>
      <w:lvlJc w:val="left"/>
      <w:pPr>
        <w:ind w:left="5040" w:hanging="360"/>
      </w:pPr>
      <w:rPr>
        <w:rFonts w:ascii="Symbol" w:hAnsi="Symbol" w:hint="default"/>
      </w:rPr>
    </w:lvl>
    <w:lvl w:ilvl="7" w:tplc="68E6B8D8" w:tentative="1">
      <w:start w:val="1"/>
      <w:numFmt w:val="bullet"/>
      <w:lvlText w:val="o"/>
      <w:lvlJc w:val="left"/>
      <w:pPr>
        <w:ind w:left="5760" w:hanging="360"/>
      </w:pPr>
      <w:rPr>
        <w:rFonts w:ascii="Courier New" w:hAnsi="Courier New" w:cs="Courier New" w:hint="default"/>
      </w:rPr>
    </w:lvl>
    <w:lvl w:ilvl="8" w:tplc="ADE236C2" w:tentative="1">
      <w:start w:val="1"/>
      <w:numFmt w:val="bullet"/>
      <w:lvlText w:val=""/>
      <w:lvlJc w:val="left"/>
      <w:pPr>
        <w:ind w:left="6480" w:hanging="360"/>
      </w:pPr>
      <w:rPr>
        <w:rFonts w:ascii="Wingdings" w:hAnsi="Wingdings" w:hint="default"/>
      </w:rPr>
    </w:lvl>
  </w:abstractNum>
  <w:abstractNum w:abstractNumId="3" w15:restartNumberingAfterBreak="0">
    <w:nsid w:val="66E23954"/>
    <w:multiLevelType w:val="hybridMultilevel"/>
    <w:tmpl w:val="30D241B6"/>
    <w:lvl w:ilvl="0" w:tplc="678A705C">
      <w:start w:val="1"/>
      <w:numFmt w:val="bullet"/>
      <w:lvlText w:val=""/>
      <w:lvlJc w:val="left"/>
      <w:pPr>
        <w:tabs>
          <w:tab w:val="num" w:pos="720"/>
        </w:tabs>
        <w:ind w:left="720" w:hanging="360"/>
      </w:pPr>
      <w:rPr>
        <w:rFonts w:ascii="Symbol" w:hAnsi="Symbol" w:hint="default"/>
      </w:rPr>
    </w:lvl>
    <w:lvl w:ilvl="1" w:tplc="EFBEFACA" w:tentative="1">
      <w:start w:val="1"/>
      <w:numFmt w:val="bullet"/>
      <w:lvlText w:val="o"/>
      <w:lvlJc w:val="left"/>
      <w:pPr>
        <w:ind w:left="1440" w:hanging="360"/>
      </w:pPr>
      <w:rPr>
        <w:rFonts w:ascii="Courier New" w:hAnsi="Courier New" w:cs="Courier New" w:hint="default"/>
      </w:rPr>
    </w:lvl>
    <w:lvl w:ilvl="2" w:tplc="E45E9AAE" w:tentative="1">
      <w:start w:val="1"/>
      <w:numFmt w:val="bullet"/>
      <w:lvlText w:val=""/>
      <w:lvlJc w:val="left"/>
      <w:pPr>
        <w:ind w:left="2160" w:hanging="360"/>
      </w:pPr>
      <w:rPr>
        <w:rFonts w:ascii="Wingdings" w:hAnsi="Wingdings" w:hint="default"/>
      </w:rPr>
    </w:lvl>
    <w:lvl w:ilvl="3" w:tplc="983E27DC" w:tentative="1">
      <w:start w:val="1"/>
      <w:numFmt w:val="bullet"/>
      <w:lvlText w:val=""/>
      <w:lvlJc w:val="left"/>
      <w:pPr>
        <w:ind w:left="2880" w:hanging="360"/>
      </w:pPr>
      <w:rPr>
        <w:rFonts w:ascii="Symbol" w:hAnsi="Symbol" w:hint="default"/>
      </w:rPr>
    </w:lvl>
    <w:lvl w:ilvl="4" w:tplc="9DC65BCC" w:tentative="1">
      <w:start w:val="1"/>
      <w:numFmt w:val="bullet"/>
      <w:lvlText w:val="o"/>
      <w:lvlJc w:val="left"/>
      <w:pPr>
        <w:ind w:left="3600" w:hanging="360"/>
      </w:pPr>
      <w:rPr>
        <w:rFonts w:ascii="Courier New" w:hAnsi="Courier New" w:cs="Courier New" w:hint="default"/>
      </w:rPr>
    </w:lvl>
    <w:lvl w:ilvl="5" w:tplc="02BC422A" w:tentative="1">
      <w:start w:val="1"/>
      <w:numFmt w:val="bullet"/>
      <w:lvlText w:val=""/>
      <w:lvlJc w:val="left"/>
      <w:pPr>
        <w:ind w:left="4320" w:hanging="360"/>
      </w:pPr>
      <w:rPr>
        <w:rFonts w:ascii="Wingdings" w:hAnsi="Wingdings" w:hint="default"/>
      </w:rPr>
    </w:lvl>
    <w:lvl w:ilvl="6" w:tplc="DABC1184" w:tentative="1">
      <w:start w:val="1"/>
      <w:numFmt w:val="bullet"/>
      <w:lvlText w:val=""/>
      <w:lvlJc w:val="left"/>
      <w:pPr>
        <w:ind w:left="5040" w:hanging="360"/>
      </w:pPr>
      <w:rPr>
        <w:rFonts w:ascii="Symbol" w:hAnsi="Symbol" w:hint="default"/>
      </w:rPr>
    </w:lvl>
    <w:lvl w:ilvl="7" w:tplc="5C56A240" w:tentative="1">
      <w:start w:val="1"/>
      <w:numFmt w:val="bullet"/>
      <w:lvlText w:val="o"/>
      <w:lvlJc w:val="left"/>
      <w:pPr>
        <w:ind w:left="5760" w:hanging="360"/>
      </w:pPr>
      <w:rPr>
        <w:rFonts w:ascii="Courier New" w:hAnsi="Courier New" w:cs="Courier New" w:hint="default"/>
      </w:rPr>
    </w:lvl>
    <w:lvl w:ilvl="8" w:tplc="1188F7A4" w:tentative="1">
      <w:start w:val="1"/>
      <w:numFmt w:val="bullet"/>
      <w:lvlText w:val=""/>
      <w:lvlJc w:val="left"/>
      <w:pPr>
        <w:ind w:left="6480" w:hanging="360"/>
      </w:pPr>
      <w:rPr>
        <w:rFonts w:ascii="Wingdings" w:hAnsi="Wingdings" w:hint="default"/>
      </w:rPr>
    </w:lvl>
  </w:abstractNum>
  <w:abstractNum w:abstractNumId="4" w15:restartNumberingAfterBreak="0">
    <w:nsid w:val="728945C9"/>
    <w:multiLevelType w:val="hybridMultilevel"/>
    <w:tmpl w:val="FF921608"/>
    <w:lvl w:ilvl="0" w:tplc="DFC4F8C2">
      <w:start w:val="1"/>
      <w:numFmt w:val="decimal"/>
      <w:lvlText w:val="(%1)"/>
      <w:lvlJc w:val="left"/>
      <w:pPr>
        <w:ind w:left="825" w:hanging="465"/>
      </w:pPr>
      <w:rPr>
        <w:rFonts w:hint="default"/>
      </w:rPr>
    </w:lvl>
    <w:lvl w:ilvl="1" w:tplc="EFE250CC" w:tentative="1">
      <w:start w:val="1"/>
      <w:numFmt w:val="lowerLetter"/>
      <w:lvlText w:val="%2."/>
      <w:lvlJc w:val="left"/>
      <w:pPr>
        <w:ind w:left="1440" w:hanging="360"/>
      </w:pPr>
    </w:lvl>
    <w:lvl w:ilvl="2" w:tplc="3C607C8A" w:tentative="1">
      <w:start w:val="1"/>
      <w:numFmt w:val="lowerRoman"/>
      <w:lvlText w:val="%3."/>
      <w:lvlJc w:val="right"/>
      <w:pPr>
        <w:ind w:left="2160" w:hanging="180"/>
      </w:pPr>
    </w:lvl>
    <w:lvl w:ilvl="3" w:tplc="446085FC" w:tentative="1">
      <w:start w:val="1"/>
      <w:numFmt w:val="decimal"/>
      <w:lvlText w:val="%4."/>
      <w:lvlJc w:val="left"/>
      <w:pPr>
        <w:ind w:left="2880" w:hanging="360"/>
      </w:pPr>
    </w:lvl>
    <w:lvl w:ilvl="4" w:tplc="9FDC62CC" w:tentative="1">
      <w:start w:val="1"/>
      <w:numFmt w:val="lowerLetter"/>
      <w:lvlText w:val="%5."/>
      <w:lvlJc w:val="left"/>
      <w:pPr>
        <w:ind w:left="3600" w:hanging="360"/>
      </w:pPr>
    </w:lvl>
    <w:lvl w:ilvl="5" w:tplc="B852AEA6" w:tentative="1">
      <w:start w:val="1"/>
      <w:numFmt w:val="lowerRoman"/>
      <w:lvlText w:val="%6."/>
      <w:lvlJc w:val="right"/>
      <w:pPr>
        <w:ind w:left="4320" w:hanging="180"/>
      </w:pPr>
    </w:lvl>
    <w:lvl w:ilvl="6" w:tplc="986A7EA2" w:tentative="1">
      <w:start w:val="1"/>
      <w:numFmt w:val="decimal"/>
      <w:lvlText w:val="%7."/>
      <w:lvlJc w:val="left"/>
      <w:pPr>
        <w:ind w:left="5040" w:hanging="360"/>
      </w:pPr>
    </w:lvl>
    <w:lvl w:ilvl="7" w:tplc="ABFA1B76" w:tentative="1">
      <w:start w:val="1"/>
      <w:numFmt w:val="lowerLetter"/>
      <w:lvlText w:val="%8."/>
      <w:lvlJc w:val="left"/>
      <w:pPr>
        <w:ind w:left="5760" w:hanging="360"/>
      </w:pPr>
    </w:lvl>
    <w:lvl w:ilvl="8" w:tplc="021A186E"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08A"/>
    <w:rsid w:val="0004512B"/>
    <w:rsid w:val="000463F0"/>
    <w:rsid w:val="00046BDA"/>
    <w:rsid w:val="0004762E"/>
    <w:rsid w:val="000532BD"/>
    <w:rsid w:val="000555E0"/>
    <w:rsid w:val="00055C12"/>
    <w:rsid w:val="000608B0"/>
    <w:rsid w:val="0006104C"/>
    <w:rsid w:val="00064BF2"/>
    <w:rsid w:val="000667BA"/>
    <w:rsid w:val="000676A7"/>
    <w:rsid w:val="00072855"/>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A13"/>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AF8"/>
    <w:rsid w:val="00147530"/>
    <w:rsid w:val="0015331F"/>
    <w:rsid w:val="00156AB2"/>
    <w:rsid w:val="00160402"/>
    <w:rsid w:val="00160571"/>
    <w:rsid w:val="00161994"/>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ED8"/>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1F2"/>
    <w:rsid w:val="001F6B91"/>
    <w:rsid w:val="001F703C"/>
    <w:rsid w:val="00200B9E"/>
    <w:rsid w:val="00200BF5"/>
    <w:rsid w:val="002010D1"/>
    <w:rsid w:val="00201338"/>
    <w:rsid w:val="00206752"/>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5E0"/>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375"/>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CB9"/>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68C"/>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6512"/>
    <w:rsid w:val="0077698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4F1"/>
    <w:rsid w:val="007C462E"/>
    <w:rsid w:val="007C496B"/>
    <w:rsid w:val="007C6803"/>
    <w:rsid w:val="007D0E1F"/>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4684"/>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1BF"/>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4F"/>
    <w:rsid w:val="009107AD"/>
    <w:rsid w:val="00915568"/>
    <w:rsid w:val="009175B8"/>
    <w:rsid w:val="00917E0C"/>
    <w:rsid w:val="00920711"/>
    <w:rsid w:val="00921A1E"/>
    <w:rsid w:val="00922CFD"/>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46F"/>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834"/>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462C"/>
    <w:rsid w:val="00A87C4A"/>
    <w:rsid w:val="00A932BB"/>
    <w:rsid w:val="00A93579"/>
    <w:rsid w:val="00A93934"/>
    <w:rsid w:val="00A95D51"/>
    <w:rsid w:val="00AA18AE"/>
    <w:rsid w:val="00AA228B"/>
    <w:rsid w:val="00AA597A"/>
    <w:rsid w:val="00AA5F18"/>
    <w:rsid w:val="00AA66AD"/>
    <w:rsid w:val="00AA67A3"/>
    <w:rsid w:val="00AA7E52"/>
    <w:rsid w:val="00AB1655"/>
    <w:rsid w:val="00AB1873"/>
    <w:rsid w:val="00AB2C05"/>
    <w:rsid w:val="00AB3536"/>
    <w:rsid w:val="00AB474B"/>
    <w:rsid w:val="00AB5541"/>
    <w:rsid w:val="00AB5CCC"/>
    <w:rsid w:val="00AB6EA4"/>
    <w:rsid w:val="00AB74E2"/>
    <w:rsid w:val="00AC2E9A"/>
    <w:rsid w:val="00AC5AAB"/>
    <w:rsid w:val="00AC5AEC"/>
    <w:rsid w:val="00AC5F28"/>
    <w:rsid w:val="00AC6900"/>
    <w:rsid w:val="00AC6CD5"/>
    <w:rsid w:val="00AD17B9"/>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F70"/>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AFE"/>
    <w:rsid w:val="00CB3627"/>
    <w:rsid w:val="00CB4B4B"/>
    <w:rsid w:val="00CB4B73"/>
    <w:rsid w:val="00CB74CB"/>
    <w:rsid w:val="00CB7E04"/>
    <w:rsid w:val="00CC24B7"/>
    <w:rsid w:val="00CC7131"/>
    <w:rsid w:val="00CC7B9E"/>
    <w:rsid w:val="00CD06CA"/>
    <w:rsid w:val="00CD076A"/>
    <w:rsid w:val="00CD180C"/>
    <w:rsid w:val="00CD2237"/>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A0C"/>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3E5F"/>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3A841-840A-4591-AC78-E834CDF3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75A0C"/>
    <w:rPr>
      <w:sz w:val="16"/>
      <w:szCs w:val="16"/>
    </w:rPr>
  </w:style>
  <w:style w:type="paragraph" w:styleId="CommentText">
    <w:name w:val="annotation text"/>
    <w:basedOn w:val="Normal"/>
    <w:link w:val="CommentTextChar"/>
    <w:semiHidden/>
    <w:unhideWhenUsed/>
    <w:rsid w:val="00D75A0C"/>
    <w:rPr>
      <w:sz w:val="20"/>
      <w:szCs w:val="20"/>
    </w:rPr>
  </w:style>
  <w:style w:type="character" w:customStyle="1" w:styleId="CommentTextChar">
    <w:name w:val="Comment Text Char"/>
    <w:basedOn w:val="DefaultParagraphFont"/>
    <w:link w:val="CommentText"/>
    <w:semiHidden/>
    <w:rsid w:val="00D75A0C"/>
  </w:style>
  <w:style w:type="paragraph" w:styleId="CommentSubject">
    <w:name w:val="annotation subject"/>
    <w:basedOn w:val="CommentText"/>
    <w:next w:val="CommentText"/>
    <w:link w:val="CommentSubjectChar"/>
    <w:semiHidden/>
    <w:unhideWhenUsed/>
    <w:rsid w:val="00D75A0C"/>
    <w:rPr>
      <w:b/>
      <w:bCs/>
    </w:rPr>
  </w:style>
  <w:style w:type="character" w:customStyle="1" w:styleId="CommentSubjectChar">
    <w:name w:val="Comment Subject Char"/>
    <w:basedOn w:val="CommentTextChar"/>
    <w:link w:val="CommentSubject"/>
    <w:semiHidden/>
    <w:rsid w:val="00D75A0C"/>
    <w:rPr>
      <w:b/>
      <w:bCs/>
    </w:rPr>
  </w:style>
  <w:style w:type="paragraph" w:styleId="Revision">
    <w:name w:val="Revision"/>
    <w:hidden/>
    <w:uiPriority w:val="99"/>
    <w:semiHidden/>
    <w:rsid w:val="0077698A"/>
    <w:rPr>
      <w:sz w:val="24"/>
      <w:szCs w:val="24"/>
    </w:rPr>
  </w:style>
  <w:style w:type="character" w:styleId="Hyperlink">
    <w:name w:val="Hyperlink"/>
    <w:basedOn w:val="DefaultParagraphFont"/>
    <w:unhideWhenUsed/>
    <w:rsid w:val="00C02F70"/>
    <w:rPr>
      <w:color w:val="0000FF" w:themeColor="hyperlink"/>
      <w:u w:val="single"/>
    </w:rPr>
  </w:style>
  <w:style w:type="character" w:customStyle="1" w:styleId="UnresolvedMention1">
    <w:name w:val="Unresolved Mention1"/>
    <w:basedOn w:val="DefaultParagraphFont"/>
    <w:uiPriority w:val="99"/>
    <w:semiHidden/>
    <w:unhideWhenUsed/>
    <w:rsid w:val="00C0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3897</Characters>
  <Application>Microsoft Office Word</Application>
  <DocSecurity>4</DocSecurity>
  <Lines>85</Lines>
  <Paragraphs>29</Paragraphs>
  <ScaleCrop>false</ScaleCrop>
  <HeadingPairs>
    <vt:vector size="2" baseType="variant">
      <vt:variant>
        <vt:lpstr>Title</vt:lpstr>
      </vt:variant>
      <vt:variant>
        <vt:i4>1</vt:i4>
      </vt:variant>
    </vt:vector>
  </HeadingPairs>
  <TitlesOfParts>
    <vt:vector size="1" baseType="lpstr">
      <vt:lpstr>BA - SB00989 (Committee Report (Unamended))</vt:lpstr>
    </vt:vector>
  </TitlesOfParts>
  <Company>State of Texas</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27279</dc:subject>
  <dc:creator>State of Texas</dc:creator>
  <dc:description>SB 989 by Huffman-(H)Insurance</dc:description>
  <cp:lastModifiedBy>Matthew Lee</cp:lastModifiedBy>
  <cp:revision>2</cp:revision>
  <cp:lastPrinted>2003-11-26T17:21:00Z</cp:lastPrinted>
  <dcterms:created xsi:type="dcterms:W3CDTF">2023-05-03T23:42:00Z</dcterms:created>
  <dcterms:modified xsi:type="dcterms:W3CDTF">2023-05-03T23:42:00Z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23.120.148</vt:lpwstr>
  </property>
</Properties>
</file>