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81DDB" w14:paraId="6AC66A24" w14:textId="77777777" w:rsidTr="00345119">
        <w:tc>
          <w:tcPr>
            <w:tcW w:w="9576" w:type="dxa"/>
            <w:noWrap/>
          </w:tcPr>
          <w:p w14:paraId="402872BC" w14:textId="77777777" w:rsidR="008423E4" w:rsidRPr="0022177D" w:rsidRDefault="009603AC" w:rsidP="00E957E3">
            <w:pPr>
              <w:pStyle w:val="Heading1"/>
            </w:pPr>
            <w:r w:rsidRPr="00631897">
              <w:t>BILL ANALYSIS</w:t>
            </w:r>
          </w:p>
        </w:tc>
      </w:tr>
    </w:tbl>
    <w:p w14:paraId="58E2CABB" w14:textId="77777777" w:rsidR="008423E4" w:rsidRPr="0022177D" w:rsidRDefault="008423E4" w:rsidP="00E957E3">
      <w:pPr>
        <w:jc w:val="center"/>
      </w:pPr>
    </w:p>
    <w:p w14:paraId="0F885841" w14:textId="77777777" w:rsidR="008423E4" w:rsidRPr="00B31F0E" w:rsidRDefault="008423E4" w:rsidP="00E957E3"/>
    <w:p w14:paraId="7CAE73CD" w14:textId="77777777" w:rsidR="008423E4" w:rsidRPr="00742794" w:rsidRDefault="008423E4" w:rsidP="00E957E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81DDB" w14:paraId="72D9315F" w14:textId="77777777" w:rsidTr="00345119">
        <w:tc>
          <w:tcPr>
            <w:tcW w:w="9576" w:type="dxa"/>
          </w:tcPr>
          <w:p w14:paraId="4B9D7689" w14:textId="77777777" w:rsidR="008423E4" w:rsidRPr="00861995" w:rsidRDefault="009603AC" w:rsidP="00E957E3">
            <w:pPr>
              <w:jc w:val="right"/>
            </w:pPr>
            <w:r>
              <w:t>S.B. 991</w:t>
            </w:r>
          </w:p>
        </w:tc>
      </w:tr>
      <w:tr w:rsidR="00F81DDB" w14:paraId="0F7F1323" w14:textId="77777777" w:rsidTr="00345119">
        <w:tc>
          <w:tcPr>
            <w:tcW w:w="9576" w:type="dxa"/>
          </w:tcPr>
          <w:p w14:paraId="1147EDEB" w14:textId="77777777" w:rsidR="008423E4" w:rsidRPr="00861995" w:rsidRDefault="009603AC" w:rsidP="00E957E3">
            <w:pPr>
              <w:jc w:val="right"/>
            </w:pPr>
            <w:r>
              <w:t xml:space="preserve">By: </w:t>
            </w:r>
            <w:r w:rsidR="007C6062">
              <w:t>Hinojosa</w:t>
            </w:r>
          </w:p>
        </w:tc>
      </w:tr>
      <w:tr w:rsidR="00F81DDB" w14:paraId="426928F3" w14:textId="77777777" w:rsidTr="00345119">
        <w:tc>
          <w:tcPr>
            <w:tcW w:w="9576" w:type="dxa"/>
          </w:tcPr>
          <w:p w14:paraId="190DD320" w14:textId="77777777" w:rsidR="008423E4" w:rsidRPr="00861995" w:rsidRDefault="009603AC" w:rsidP="00E957E3">
            <w:pPr>
              <w:jc w:val="right"/>
            </w:pPr>
            <w:r>
              <w:t>Homeland Security &amp; Public Safety</w:t>
            </w:r>
          </w:p>
        </w:tc>
      </w:tr>
      <w:tr w:rsidR="00F81DDB" w14:paraId="695E6122" w14:textId="77777777" w:rsidTr="00345119">
        <w:tc>
          <w:tcPr>
            <w:tcW w:w="9576" w:type="dxa"/>
          </w:tcPr>
          <w:p w14:paraId="5754C034" w14:textId="77777777" w:rsidR="008423E4" w:rsidRDefault="009603AC" w:rsidP="00E957E3">
            <w:pPr>
              <w:jc w:val="right"/>
            </w:pPr>
            <w:r>
              <w:t>Committee Report (Unamended)</w:t>
            </w:r>
          </w:p>
        </w:tc>
      </w:tr>
    </w:tbl>
    <w:p w14:paraId="64C131D0" w14:textId="77777777" w:rsidR="008423E4" w:rsidRDefault="008423E4" w:rsidP="00E957E3">
      <w:pPr>
        <w:tabs>
          <w:tab w:val="right" w:pos="9360"/>
        </w:tabs>
      </w:pPr>
    </w:p>
    <w:p w14:paraId="62A0D7F2" w14:textId="77777777" w:rsidR="008423E4" w:rsidRDefault="008423E4" w:rsidP="00E957E3"/>
    <w:p w14:paraId="4F894185" w14:textId="77777777" w:rsidR="008423E4" w:rsidRDefault="008423E4" w:rsidP="00E957E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81DDB" w14:paraId="6FFDCFBB" w14:textId="77777777" w:rsidTr="00345119">
        <w:tc>
          <w:tcPr>
            <w:tcW w:w="9576" w:type="dxa"/>
          </w:tcPr>
          <w:p w14:paraId="5FA366A7" w14:textId="77777777" w:rsidR="008423E4" w:rsidRPr="00A8133F" w:rsidRDefault="009603AC" w:rsidP="00E957E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AA5FE9F" w14:textId="77777777" w:rsidR="008423E4" w:rsidRDefault="008423E4" w:rsidP="00E957E3"/>
          <w:p w14:paraId="62416798" w14:textId="2E30C3A3" w:rsidR="00F12CA4" w:rsidRDefault="009603AC" w:rsidP="00E957E3">
            <w:pPr>
              <w:pStyle w:val="Header"/>
              <w:jc w:val="both"/>
            </w:pPr>
            <w:r>
              <w:t>Currently, crime laboratory records are managed independently through customized laboratory information management systems and other records management systems. Records are provided via the traditional paper-driven discovery process when requested by prose</w:t>
            </w:r>
            <w:r>
              <w:t>cutors and defense attorneys. This process relies on affirmative requests for the transmission of information by criminal justice stakeholders</w:t>
            </w:r>
            <w:r w:rsidR="00D45114">
              <w:t xml:space="preserve"> </w:t>
            </w:r>
            <w:r>
              <w:t xml:space="preserve">and utilizes systems that lack both the ability to communicate and an adequate infrastructure to accomplish this </w:t>
            </w:r>
            <w:r>
              <w:t>task in an efficient, timely, accurate, and complete manner. As a result, the production of exculpatory, impeachment, and mitigation evidence to authorized parties for use in court could potentially be impacted and cause severe and avoidable consequences f</w:t>
            </w:r>
            <w:r>
              <w:t>or all the affected parties involved in the criminal justice system. S.B. 991 seeks to address this issue by requiring the Department of Public Safety to establish a central computerized laboratory portal that processes requests for records and transmits t</w:t>
            </w:r>
            <w:r>
              <w:t xml:space="preserve">hem among the appropriate parties. </w:t>
            </w:r>
          </w:p>
          <w:p w14:paraId="5D53B96F" w14:textId="48C8A09A" w:rsidR="008423E4" w:rsidRPr="00E26B13" w:rsidRDefault="008423E4" w:rsidP="00E957E3">
            <w:pPr>
              <w:pStyle w:val="Header"/>
              <w:jc w:val="both"/>
              <w:rPr>
                <w:b/>
              </w:rPr>
            </w:pPr>
          </w:p>
        </w:tc>
      </w:tr>
      <w:tr w:rsidR="00F81DDB" w14:paraId="45B97D29" w14:textId="77777777" w:rsidTr="00345119">
        <w:tc>
          <w:tcPr>
            <w:tcW w:w="9576" w:type="dxa"/>
          </w:tcPr>
          <w:p w14:paraId="77173529" w14:textId="77777777" w:rsidR="0017725B" w:rsidRDefault="009603AC" w:rsidP="00E957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5F6C64" w14:textId="77777777" w:rsidR="0017725B" w:rsidRDefault="0017725B" w:rsidP="00E957E3">
            <w:pPr>
              <w:rPr>
                <w:b/>
                <w:u w:val="single"/>
              </w:rPr>
            </w:pPr>
          </w:p>
          <w:p w14:paraId="45AA78A8" w14:textId="37E39428" w:rsidR="0041648B" w:rsidRPr="0041648B" w:rsidRDefault="009603AC" w:rsidP="00E957E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</w:t>
            </w:r>
            <w:r>
              <w:t>ility of a person for community supervision, parole, or mandatory supervision.</w:t>
            </w:r>
          </w:p>
          <w:p w14:paraId="37E0CA31" w14:textId="77777777" w:rsidR="0017725B" w:rsidRPr="0017725B" w:rsidRDefault="0017725B" w:rsidP="00E957E3">
            <w:pPr>
              <w:rPr>
                <w:b/>
                <w:u w:val="single"/>
              </w:rPr>
            </w:pPr>
          </w:p>
        </w:tc>
      </w:tr>
      <w:tr w:rsidR="00F81DDB" w14:paraId="467E15CB" w14:textId="77777777" w:rsidTr="00345119">
        <w:tc>
          <w:tcPr>
            <w:tcW w:w="9576" w:type="dxa"/>
          </w:tcPr>
          <w:p w14:paraId="7803730B" w14:textId="77777777" w:rsidR="008423E4" w:rsidRPr="00A8133F" w:rsidRDefault="009603AC" w:rsidP="00E957E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7617571" w14:textId="77777777" w:rsidR="008423E4" w:rsidRDefault="008423E4" w:rsidP="00E957E3"/>
          <w:p w14:paraId="4FE9C0F6" w14:textId="7A17B397" w:rsidR="0041648B" w:rsidRDefault="009603AC" w:rsidP="00E957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Department of Public Safety in SECTION 2 of this bill.</w:t>
            </w:r>
          </w:p>
          <w:p w14:paraId="194350C3" w14:textId="77777777" w:rsidR="008423E4" w:rsidRPr="00E21FDC" w:rsidRDefault="008423E4" w:rsidP="00E957E3">
            <w:pPr>
              <w:rPr>
                <w:b/>
              </w:rPr>
            </w:pPr>
          </w:p>
        </w:tc>
      </w:tr>
      <w:tr w:rsidR="00F81DDB" w14:paraId="4B722DF2" w14:textId="77777777" w:rsidTr="00345119">
        <w:tc>
          <w:tcPr>
            <w:tcW w:w="9576" w:type="dxa"/>
          </w:tcPr>
          <w:p w14:paraId="6E16D520" w14:textId="77777777" w:rsidR="008423E4" w:rsidRPr="00A8133F" w:rsidRDefault="009603AC" w:rsidP="00E957E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CFB184B" w14:textId="77777777" w:rsidR="008423E4" w:rsidRDefault="008423E4" w:rsidP="00E957E3"/>
          <w:p w14:paraId="1A51CD34" w14:textId="7BB778B6" w:rsidR="00C14E0C" w:rsidRDefault="009603AC" w:rsidP="00E957E3">
            <w:pPr>
              <w:pStyle w:val="Header"/>
              <w:jc w:val="both"/>
            </w:pPr>
            <w:r>
              <w:t xml:space="preserve">S.B. 991 amends the Government Code to </w:t>
            </w:r>
            <w:r w:rsidR="008632D5">
              <w:t xml:space="preserve">require the Department of Public Safety </w:t>
            </w:r>
            <w:r w:rsidR="00E20A17">
              <w:t>(DPS)</w:t>
            </w:r>
            <w:r w:rsidR="009C37B0">
              <w:t xml:space="preserve"> by rule</w:t>
            </w:r>
            <w:r w:rsidR="00E20A17">
              <w:t xml:space="preserve"> </w:t>
            </w:r>
            <w:r w:rsidR="008632D5">
              <w:t xml:space="preserve">to </w:t>
            </w:r>
            <w:r>
              <w:t xml:space="preserve">establish </w:t>
            </w:r>
            <w:r>
              <w:t xml:space="preserve">and maintain a central computerized portal that facilitates the process for requesting crime laboratory records and for transferring those records among crime laboratories, </w:t>
            </w:r>
            <w:r w:rsidR="00B562D8">
              <w:t>attorney</w:t>
            </w:r>
            <w:r w:rsidR="004576A2">
              <w:t>s representing the state</w:t>
            </w:r>
            <w:r>
              <w:t>, and parties authorized to access the records as a</w:t>
            </w:r>
            <w:r>
              <w:t xml:space="preserve"> part of discovery. The portal </w:t>
            </w:r>
            <w:r w:rsidR="00D45114">
              <w:t>may not be</w:t>
            </w:r>
            <w:r w:rsidR="00E20A17">
              <w:t xml:space="preserve"> used</w:t>
            </w:r>
            <w:r>
              <w:t xml:space="preserve"> as a central repository for crime laboratory records.</w:t>
            </w:r>
            <w:r w:rsidR="00E20A17">
              <w:t xml:space="preserve"> </w:t>
            </w:r>
          </w:p>
          <w:p w14:paraId="73312B24" w14:textId="77777777" w:rsidR="00C14E0C" w:rsidRDefault="00C14E0C" w:rsidP="00E957E3">
            <w:pPr>
              <w:pStyle w:val="Header"/>
              <w:jc w:val="both"/>
            </w:pPr>
          </w:p>
          <w:p w14:paraId="0AFEFDC9" w14:textId="399E484A" w:rsidR="00972196" w:rsidRDefault="009603AC" w:rsidP="00E957E3">
            <w:pPr>
              <w:pStyle w:val="Header"/>
              <w:jc w:val="both"/>
            </w:pPr>
            <w:r>
              <w:t>S.B. 991</w:t>
            </w:r>
            <w:r w:rsidR="00E20A17">
              <w:t xml:space="preserve"> require</w:t>
            </w:r>
            <w:r w:rsidR="00212BC7">
              <w:t>s</w:t>
            </w:r>
            <w:r w:rsidR="00E20A17">
              <w:t xml:space="preserve"> a</w:t>
            </w:r>
            <w:r>
              <w:t xml:space="preserve"> crime laboratory that performs a forensic analysis for use in a criminal action </w:t>
            </w:r>
            <w:r w:rsidR="00E20A17">
              <w:t>to</w:t>
            </w:r>
            <w:r>
              <w:t xml:space="preserve"> participate, in accordance with </w:t>
            </w:r>
            <w:r w:rsidR="00E20A17">
              <w:t xml:space="preserve">DPS </w:t>
            </w:r>
            <w:r>
              <w:t>rule, in the t</w:t>
            </w:r>
            <w:r>
              <w:t xml:space="preserve">ransfer of crime laboratory records using the crime laboratory portal. The </w:t>
            </w:r>
            <w:r w:rsidR="00724C07">
              <w:t>bill authorizes DPS</w:t>
            </w:r>
            <w:r w:rsidR="00212BC7">
              <w:t xml:space="preserve"> by rule</w:t>
            </w:r>
            <w:r w:rsidR="00724C07">
              <w:t xml:space="preserve"> to exempt </w:t>
            </w:r>
            <w:r>
              <w:t xml:space="preserve">a crime laboratory from the </w:t>
            </w:r>
            <w:r w:rsidR="00FC5248">
              <w:t xml:space="preserve">participation </w:t>
            </w:r>
            <w:r>
              <w:t xml:space="preserve">requirement if </w:t>
            </w:r>
            <w:r w:rsidR="00724C07">
              <w:t xml:space="preserve">DPS </w:t>
            </w:r>
            <w:r>
              <w:t>determines that the crime laboratory</w:t>
            </w:r>
            <w:r w:rsidR="00D45114">
              <w:t>, as follows:</w:t>
            </w:r>
            <w:r w:rsidR="00724C07">
              <w:t xml:space="preserve"> </w:t>
            </w:r>
          </w:p>
          <w:p w14:paraId="79B855BD" w14:textId="3DA9C9B8" w:rsidR="00972196" w:rsidRDefault="009603AC" w:rsidP="00E957E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is located outside of </w:t>
            </w:r>
            <w:r w:rsidR="00D30A25">
              <w:t>Texas</w:t>
            </w:r>
            <w:r>
              <w:t>; an</w:t>
            </w:r>
            <w:r>
              <w:t>d</w:t>
            </w:r>
          </w:p>
          <w:p w14:paraId="2FBE29AC" w14:textId="27B38EF2" w:rsidR="00972196" w:rsidRDefault="009603AC" w:rsidP="00E957E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performs an insufficient number of forensic analyses in</w:t>
            </w:r>
            <w:r w:rsidR="00D30A25">
              <w:t xml:space="preserve"> Texas</w:t>
            </w:r>
            <w:r>
              <w:t xml:space="preserve"> criminal actions to warrant participation in the crime laboratory portal.</w:t>
            </w:r>
          </w:p>
          <w:p w14:paraId="47DFF633" w14:textId="7EAAB0D8" w:rsidR="009C36CD" w:rsidRDefault="009603AC" w:rsidP="00E957E3">
            <w:pPr>
              <w:pStyle w:val="Header"/>
              <w:jc w:val="both"/>
            </w:pPr>
            <w:r>
              <w:t xml:space="preserve">The bill </w:t>
            </w:r>
            <w:r w:rsidR="008174F8">
              <w:t xml:space="preserve">establishes that </w:t>
            </w:r>
            <w:r>
              <w:t>a</w:t>
            </w:r>
            <w:r w:rsidR="00972196">
              <w:t xml:space="preserve"> crime laboratory that violates </w:t>
            </w:r>
            <w:r w:rsidR="00C14E0C">
              <w:t>the participation requirement</w:t>
            </w:r>
            <w:r>
              <w:t xml:space="preserve"> </w:t>
            </w:r>
            <w:r w:rsidR="008174F8">
              <w:t xml:space="preserve">is subject </w:t>
            </w:r>
            <w:r w:rsidR="00972196">
              <w:t>to disciplinary action by the Texas Forensic Science Commission</w:t>
            </w:r>
            <w:r w:rsidR="0041648B">
              <w:t xml:space="preserve"> (FSC)</w:t>
            </w:r>
            <w:r w:rsidR="00972196">
              <w:t xml:space="preserve"> in the same manner as if the laboratory had otherwise violated</w:t>
            </w:r>
            <w:r>
              <w:t xml:space="preserve"> </w:t>
            </w:r>
            <w:r w:rsidR="00972196">
              <w:t>accreditation standards</w:t>
            </w:r>
            <w:r>
              <w:t xml:space="preserve">. The bill requires the attorney </w:t>
            </w:r>
            <w:r w:rsidR="003B3ACE">
              <w:t xml:space="preserve">representing the state </w:t>
            </w:r>
            <w:r w:rsidR="00972196">
              <w:t>in a criminal action</w:t>
            </w:r>
            <w:r>
              <w:t xml:space="preserve"> to ensure </w:t>
            </w:r>
            <w:r w:rsidR="00972196">
              <w:t>that the defendant or the defendant's attorney, as appropriate, is able to access and use the crime laboratory portal to request any crime laboratory records that are subject to discovery</w:t>
            </w:r>
            <w:r>
              <w:t>.</w:t>
            </w:r>
            <w:r w:rsidR="0016764D">
              <w:t xml:space="preserve"> The bill defines "crime laboratory," </w:t>
            </w:r>
            <w:r w:rsidR="00120851">
              <w:t>"</w:t>
            </w:r>
            <w:r w:rsidR="0016764D">
              <w:t>criminal action," and "forensic analysis" for these purposes by reference to the Code of Criminal Procedure.</w:t>
            </w:r>
          </w:p>
          <w:p w14:paraId="64E38CBA" w14:textId="089AA141" w:rsidR="00D30A25" w:rsidRDefault="00D30A25" w:rsidP="00E957E3">
            <w:pPr>
              <w:pStyle w:val="Header"/>
              <w:jc w:val="both"/>
            </w:pPr>
          </w:p>
          <w:p w14:paraId="30835F66" w14:textId="45297005" w:rsidR="008174F8" w:rsidRDefault="009603AC" w:rsidP="00E957E3">
            <w:pPr>
              <w:pStyle w:val="Header"/>
              <w:jc w:val="both"/>
            </w:pPr>
            <w:r>
              <w:t xml:space="preserve">S.B. 991 amends the Code of Criminal Procedure to </w:t>
            </w:r>
            <w:r w:rsidR="006B1036">
              <w:t xml:space="preserve">revise the accreditation standards </w:t>
            </w:r>
            <w:r w:rsidR="00D45114">
              <w:t xml:space="preserve">the violation of which is grounds </w:t>
            </w:r>
            <w:r w:rsidR="006B1036">
              <w:t xml:space="preserve">for </w:t>
            </w:r>
            <w:r w:rsidR="00032132">
              <w:t xml:space="preserve">the </w:t>
            </w:r>
            <w:r>
              <w:t xml:space="preserve">FSC </w:t>
            </w:r>
            <w:r w:rsidR="00D45114">
              <w:t>to</w:t>
            </w:r>
            <w:r>
              <w:t xml:space="preserve"> take disciplinary action</w:t>
            </w:r>
            <w:r w:rsidR="00D45114">
              <w:t>. Accordingly, the bill</w:t>
            </w:r>
            <w:r>
              <w:t xml:space="preserve"> as follows:</w:t>
            </w:r>
          </w:p>
          <w:p w14:paraId="13937921" w14:textId="73611AC9" w:rsidR="008174F8" w:rsidRDefault="009603AC" w:rsidP="00E957E3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includes professional negligence and a violation of the code of professional responsibility among the </w:t>
            </w:r>
            <w:r w:rsidR="00180D27">
              <w:t>violations of accreditation standards</w:t>
            </w:r>
            <w:r>
              <w:t xml:space="preserve"> that may be subject to such action;</w:t>
            </w:r>
          </w:p>
          <w:p w14:paraId="7F4DEE06" w14:textId="654C2A22" w:rsidR="008174F8" w:rsidRDefault="009603AC" w:rsidP="00E957E3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authorizes the FSC to revoke, suspend, or refuse to renew a </w:t>
            </w:r>
            <w:r w:rsidR="00180D27">
              <w:t xml:space="preserve">violating </w:t>
            </w:r>
            <w:r>
              <w:t>crime labo</w:t>
            </w:r>
            <w:r>
              <w:t>ratory's accreditation</w:t>
            </w:r>
            <w:r w:rsidR="00180D27">
              <w:t>, or reprimand the crime laboratory;</w:t>
            </w:r>
          </w:p>
          <w:p w14:paraId="35F94FC4" w14:textId="14DBCE1D" w:rsidR="00180D27" w:rsidRDefault="009603AC" w:rsidP="00E957E3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authorizes a crime laboratory or license holder that receives notice of a disciplinary action the option to accept the disciplinary action; </w:t>
            </w:r>
          </w:p>
          <w:p w14:paraId="108C8A63" w14:textId="2C7019BC" w:rsidR="00180D27" w:rsidRDefault="009603AC" w:rsidP="00E957E3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specifies that a hearing </w:t>
            </w:r>
            <w:r w:rsidR="0014017B">
              <w:t xml:space="preserve">for which a laboratory or license holder may submit a written request to </w:t>
            </w:r>
            <w:r w:rsidR="0014017B" w:rsidRPr="0014017B">
              <w:t>the Judicial Branch Certification Commission</w:t>
            </w:r>
            <w:r w:rsidR="0014017B">
              <w:t xml:space="preserve"> is a hearing to contest </w:t>
            </w:r>
            <w:r w:rsidR="0014017B" w:rsidRPr="0014017B">
              <w:t>the findings of fact or conclusions of law, the occurrence of the negligence, misconduct, or violation, or the imposition of a disciplinary action, as applicable</w:t>
            </w:r>
            <w:r w:rsidR="0014017B">
              <w:t>; and</w:t>
            </w:r>
          </w:p>
          <w:p w14:paraId="63981956" w14:textId="1476D8E7" w:rsidR="0014017B" w:rsidRDefault="009603AC" w:rsidP="00E957E3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requires the Judicial Branch Certification Commission to conduct any appeal of its decision regarding the disciplinary action. </w:t>
            </w:r>
          </w:p>
          <w:p w14:paraId="75F4CD3A" w14:textId="77777777" w:rsidR="008423E4" w:rsidRPr="00835628" w:rsidRDefault="008423E4" w:rsidP="00E957E3">
            <w:pPr>
              <w:rPr>
                <w:b/>
              </w:rPr>
            </w:pPr>
          </w:p>
        </w:tc>
      </w:tr>
      <w:tr w:rsidR="00F81DDB" w14:paraId="46CC2202" w14:textId="77777777" w:rsidTr="00345119">
        <w:tc>
          <w:tcPr>
            <w:tcW w:w="9576" w:type="dxa"/>
          </w:tcPr>
          <w:p w14:paraId="76596AC3" w14:textId="77777777" w:rsidR="008423E4" w:rsidRPr="00A8133F" w:rsidRDefault="009603AC" w:rsidP="00E957E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F61B07A" w14:textId="77777777" w:rsidR="008423E4" w:rsidRDefault="008423E4" w:rsidP="00E957E3"/>
          <w:p w14:paraId="41BC190E" w14:textId="0043E90F" w:rsidR="008423E4" w:rsidRPr="003624F2" w:rsidRDefault="009603AC" w:rsidP="00E957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819F4AB" w14:textId="77777777" w:rsidR="008423E4" w:rsidRPr="00233FDB" w:rsidRDefault="008423E4" w:rsidP="00E957E3">
            <w:pPr>
              <w:rPr>
                <w:b/>
              </w:rPr>
            </w:pPr>
          </w:p>
        </w:tc>
      </w:tr>
    </w:tbl>
    <w:p w14:paraId="2041710F" w14:textId="77777777" w:rsidR="008423E4" w:rsidRPr="00BE0E75" w:rsidRDefault="008423E4" w:rsidP="00E957E3">
      <w:pPr>
        <w:jc w:val="both"/>
        <w:rPr>
          <w:rFonts w:ascii="Arial" w:hAnsi="Arial"/>
          <w:sz w:val="16"/>
          <w:szCs w:val="16"/>
        </w:rPr>
      </w:pPr>
    </w:p>
    <w:p w14:paraId="099B071F" w14:textId="77777777" w:rsidR="004108C3" w:rsidRPr="008423E4" w:rsidRDefault="004108C3" w:rsidP="00E957E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11FA" w14:textId="77777777" w:rsidR="00000000" w:rsidRDefault="009603AC">
      <w:r>
        <w:separator/>
      </w:r>
    </w:p>
  </w:endnote>
  <w:endnote w:type="continuationSeparator" w:id="0">
    <w:p w14:paraId="5B3FD9ED" w14:textId="77777777" w:rsidR="00000000" w:rsidRDefault="0096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A5A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81DDB" w14:paraId="33320880" w14:textId="77777777" w:rsidTr="009C1E9A">
      <w:trPr>
        <w:cantSplit/>
      </w:trPr>
      <w:tc>
        <w:tcPr>
          <w:tcW w:w="0" w:type="pct"/>
        </w:tcPr>
        <w:p w14:paraId="22BC03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F04C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AE190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03C0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F0EBB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1DDB" w14:paraId="23068C1F" w14:textId="77777777" w:rsidTr="009C1E9A">
      <w:trPr>
        <w:cantSplit/>
      </w:trPr>
      <w:tc>
        <w:tcPr>
          <w:tcW w:w="0" w:type="pct"/>
        </w:tcPr>
        <w:p w14:paraId="217CDB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F26FBF" w14:textId="77777777" w:rsidR="00EC379B" w:rsidRPr="009C1E9A" w:rsidRDefault="009603A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30288-D</w:t>
          </w:r>
        </w:p>
      </w:tc>
      <w:tc>
        <w:tcPr>
          <w:tcW w:w="2453" w:type="pct"/>
        </w:tcPr>
        <w:p w14:paraId="68B5D703" w14:textId="5704FA0C" w:rsidR="00EC379B" w:rsidRDefault="009603A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957E3">
            <w:t>23.133.147</w:t>
          </w:r>
          <w:r>
            <w:fldChar w:fldCharType="end"/>
          </w:r>
        </w:p>
      </w:tc>
    </w:tr>
    <w:tr w:rsidR="00F81DDB" w14:paraId="29513027" w14:textId="77777777" w:rsidTr="009C1E9A">
      <w:trPr>
        <w:cantSplit/>
      </w:trPr>
      <w:tc>
        <w:tcPr>
          <w:tcW w:w="0" w:type="pct"/>
        </w:tcPr>
        <w:p w14:paraId="4D3A48A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002A5E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0A4853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29641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1DDB" w14:paraId="47C6817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B11918" w14:textId="77777777" w:rsidR="00EC379B" w:rsidRDefault="009603A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71C67C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5612D8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33D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0E7A" w14:textId="77777777" w:rsidR="00000000" w:rsidRDefault="009603AC">
      <w:r>
        <w:separator/>
      </w:r>
    </w:p>
  </w:footnote>
  <w:footnote w:type="continuationSeparator" w:id="0">
    <w:p w14:paraId="3C828017" w14:textId="77777777" w:rsidR="00000000" w:rsidRDefault="0096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496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BC7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CEF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1E5"/>
    <w:multiLevelType w:val="hybridMultilevel"/>
    <w:tmpl w:val="B5AAE2D8"/>
    <w:lvl w:ilvl="0" w:tplc="CEF05674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2C842FE6" w:tentative="1">
      <w:start w:val="1"/>
      <w:numFmt w:val="lowerLetter"/>
      <w:lvlText w:val="%2."/>
      <w:lvlJc w:val="left"/>
      <w:pPr>
        <w:ind w:left="1440" w:hanging="360"/>
      </w:pPr>
    </w:lvl>
    <w:lvl w:ilvl="2" w:tplc="15D6F358" w:tentative="1">
      <w:start w:val="1"/>
      <w:numFmt w:val="lowerRoman"/>
      <w:lvlText w:val="%3."/>
      <w:lvlJc w:val="right"/>
      <w:pPr>
        <w:ind w:left="2160" w:hanging="180"/>
      </w:pPr>
    </w:lvl>
    <w:lvl w:ilvl="3" w:tplc="1E32ED22" w:tentative="1">
      <w:start w:val="1"/>
      <w:numFmt w:val="decimal"/>
      <w:lvlText w:val="%4."/>
      <w:lvlJc w:val="left"/>
      <w:pPr>
        <w:ind w:left="2880" w:hanging="360"/>
      </w:pPr>
    </w:lvl>
    <w:lvl w:ilvl="4" w:tplc="EABE2646" w:tentative="1">
      <w:start w:val="1"/>
      <w:numFmt w:val="lowerLetter"/>
      <w:lvlText w:val="%5."/>
      <w:lvlJc w:val="left"/>
      <w:pPr>
        <w:ind w:left="3600" w:hanging="360"/>
      </w:pPr>
    </w:lvl>
    <w:lvl w:ilvl="5" w:tplc="BB343DEE" w:tentative="1">
      <w:start w:val="1"/>
      <w:numFmt w:val="lowerRoman"/>
      <w:lvlText w:val="%6."/>
      <w:lvlJc w:val="right"/>
      <w:pPr>
        <w:ind w:left="4320" w:hanging="180"/>
      </w:pPr>
    </w:lvl>
    <w:lvl w:ilvl="6" w:tplc="5B0C2E44" w:tentative="1">
      <w:start w:val="1"/>
      <w:numFmt w:val="decimal"/>
      <w:lvlText w:val="%7."/>
      <w:lvlJc w:val="left"/>
      <w:pPr>
        <w:ind w:left="5040" w:hanging="360"/>
      </w:pPr>
    </w:lvl>
    <w:lvl w:ilvl="7" w:tplc="6FF0C342" w:tentative="1">
      <w:start w:val="1"/>
      <w:numFmt w:val="lowerLetter"/>
      <w:lvlText w:val="%8."/>
      <w:lvlJc w:val="left"/>
      <w:pPr>
        <w:ind w:left="5760" w:hanging="360"/>
      </w:pPr>
    </w:lvl>
    <w:lvl w:ilvl="8" w:tplc="2DB26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90A07"/>
    <w:multiLevelType w:val="hybridMultilevel"/>
    <w:tmpl w:val="B09C065E"/>
    <w:lvl w:ilvl="0" w:tplc="C3DA2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AE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2A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43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8A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2F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A9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C7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040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B2FBB"/>
    <w:multiLevelType w:val="hybridMultilevel"/>
    <w:tmpl w:val="AD1E0D5A"/>
    <w:lvl w:ilvl="0" w:tplc="17FEE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EB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A7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61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20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2E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E0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0D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827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05753">
    <w:abstractNumId w:val="1"/>
  </w:num>
  <w:num w:numId="2" w16cid:durableId="1518033183">
    <w:abstractNumId w:val="0"/>
  </w:num>
  <w:num w:numId="3" w16cid:durableId="125154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6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132"/>
    <w:rsid w:val="000330D4"/>
    <w:rsid w:val="0003572D"/>
    <w:rsid w:val="00035DB0"/>
    <w:rsid w:val="00037088"/>
    <w:rsid w:val="000400D5"/>
    <w:rsid w:val="0004270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0851"/>
    <w:rsid w:val="001218D2"/>
    <w:rsid w:val="0012371B"/>
    <w:rsid w:val="001245C8"/>
    <w:rsid w:val="00124653"/>
    <w:rsid w:val="001247C5"/>
    <w:rsid w:val="00127893"/>
    <w:rsid w:val="001312BB"/>
    <w:rsid w:val="00137D90"/>
    <w:rsid w:val="0014017B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64D"/>
    <w:rsid w:val="00171BF2"/>
    <w:rsid w:val="0017347B"/>
    <w:rsid w:val="0017725B"/>
    <w:rsid w:val="0018050C"/>
    <w:rsid w:val="00180D27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2BC7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94A"/>
    <w:rsid w:val="0024077A"/>
    <w:rsid w:val="00241EC1"/>
    <w:rsid w:val="002431DA"/>
    <w:rsid w:val="002450C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ACE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064C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48B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6A2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1D1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B45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036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C07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062"/>
    <w:rsid w:val="007C6803"/>
    <w:rsid w:val="007D2892"/>
    <w:rsid w:val="007D2DCC"/>
    <w:rsid w:val="007D47E1"/>
    <w:rsid w:val="007D7FCB"/>
    <w:rsid w:val="007E33B6"/>
    <w:rsid w:val="007E59E8"/>
    <w:rsid w:val="007E65CC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4F8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2D5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C04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3AC"/>
    <w:rsid w:val="00960F2D"/>
    <w:rsid w:val="0096482F"/>
    <w:rsid w:val="00964E3A"/>
    <w:rsid w:val="00967126"/>
    <w:rsid w:val="00970EAE"/>
    <w:rsid w:val="00971627"/>
    <w:rsid w:val="00972196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37B0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14F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2D8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0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A25"/>
    <w:rsid w:val="00D35728"/>
    <w:rsid w:val="00D359A7"/>
    <w:rsid w:val="00D37BCF"/>
    <w:rsid w:val="00D40F93"/>
    <w:rsid w:val="00D42277"/>
    <w:rsid w:val="00D43C59"/>
    <w:rsid w:val="00D44ADE"/>
    <w:rsid w:val="00D45114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0A17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7E3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C9B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2CA4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1DDB"/>
    <w:rsid w:val="00F82811"/>
    <w:rsid w:val="00F84153"/>
    <w:rsid w:val="00F85661"/>
    <w:rsid w:val="00F92764"/>
    <w:rsid w:val="00F96602"/>
    <w:rsid w:val="00F9735A"/>
    <w:rsid w:val="00FA32FC"/>
    <w:rsid w:val="00FA59FD"/>
    <w:rsid w:val="00FA5D8C"/>
    <w:rsid w:val="00FA6403"/>
    <w:rsid w:val="00FB16CD"/>
    <w:rsid w:val="00FB73AE"/>
    <w:rsid w:val="00FC5248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7451A8-1A36-41F8-A10B-D20D45A2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20A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0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0A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0A17"/>
    <w:rPr>
      <w:b/>
      <w:bCs/>
    </w:rPr>
  </w:style>
  <w:style w:type="paragraph" w:styleId="Revision">
    <w:name w:val="Revision"/>
    <w:hidden/>
    <w:uiPriority w:val="99"/>
    <w:semiHidden/>
    <w:rsid w:val="009C37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3821</Characters>
  <Application>Microsoft Office Word</Application>
  <DocSecurity>4</DocSecurity>
  <Lines>83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SB00991 (Committee Report (Unamended))</vt:lpstr>
    </vt:vector>
  </TitlesOfParts>
  <Company>State of Texas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30288</dc:subject>
  <dc:creator>State of Texas</dc:creator>
  <dc:description>SB 991 by Hinojosa-(H)Homeland Security &amp; Public Safety</dc:description>
  <cp:lastModifiedBy>Damian Duarte</cp:lastModifiedBy>
  <cp:revision>2</cp:revision>
  <cp:lastPrinted>2003-11-26T17:21:00Z</cp:lastPrinted>
  <dcterms:created xsi:type="dcterms:W3CDTF">2023-05-17T15:03:00Z</dcterms:created>
  <dcterms:modified xsi:type="dcterms:W3CDTF">2023-05-17T15:03:00Z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23.133.147</vt:lpwstr>
  </property>
</Properties>
</file>