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62405" w14:paraId="4CAF1A4E" w14:textId="77777777" w:rsidTr="00345119">
        <w:tc>
          <w:tcPr>
            <w:tcW w:w="9576" w:type="dxa"/>
            <w:noWrap/>
          </w:tcPr>
          <w:p w14:paraId="34661E8F" w14:textId="77777777" w:rsidR="008423E4" w:rsidRPr="0022177D" w:rsidRDefault="003678C1" w:rsidP="0091794F">
            <w:pPr>
              <w:pStyle w:val="Heading1"/>
            </w:pPr>
            <w:r w:rsidRPr="00631897">
              <w:t>BILL ANALYSIS</w:t>
            </w:r>
          </w:p>
        </w:tc>
      </w:tr>
    </w:tbl>
    <w:p w14:paraId="749111AD" w14:textId="77777777" w:rsidR="008423E4" w:rsidRPr="0022177D" w:rsidRDefault="008423E4" w:rsidP="0091794F">
      <w:pPr>
        <w:jc w:val="center"/>
      </w:pPr>
    </w:p>
    <w:p w14:paraId="7C6016E6" w14:textId="77777777" w:rsidR="008423E4" w:rsidRPr="00B31F0E" w:rsidRDefault="008423E4" w:rsidP="0091794F"/>
    <w:p w14:paraId="0D5B7BE8" w14:textId="77777777" w:rsidR="008423E4" w:rsidRPr="00742794" w:rsidRDefault="008423E4" w:rsidP="0091794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62405" w14:paraId="50E30719" w14:textId="77777777" w:rsidTr="00345119">
        <w:tc>
          <w:tcPr>
            <w:tcW w:w="9576" w:type="dxa"/>
          </w:tcPr>
          <w:p w14:paraId="09AD1A9F" w14:textId="701D7984" w:rsidR="008423E4" w:rsidRPr="00861995" w:rsidRDefault="003678C1" w:rsidP="0091794F">
            <w:pPr>
              <w:jc w:val="right"/>
            </w:pPr>
            <w:r>
              <w:t>C.S.S.B. 1001</w:t>
            </w:r>
          </w:p>
        </w:tc>
      </w:tr>
      <w:tr w:rsidR="00162405" w14:paraId="4071CC8B" w14:textId="77777777" w:rsidTr="00345119">
        <w:tc>
          <w:tcPr>
            <w:tcW w:w="9576" w:type="dxa"/>
          </w:tcPr>
          <w:p w14:paraId="309432E8" w14:textId="3F5A2423" w:rsidR="008423E4" w:rsidRPr="00861995" w:rsidRDefault="003678C1" w:rsidP="0091794F">
            <w:pPr>
              <w:jc w:val="right"/>
            </w:pPr>
            <w:r>
              <w:t xml:space="preserve">By: </w:t>
            </w:r>
            <w:r w:rsidR="000E35E9">
              <w:t>Schwertner</w:t>
            </w:r>
          </w:p>
        </w:tc>
      </w:tr>
      <w:tr w:rsidR="00162405" w14:paraId="4444F7C3" w14:textId="77777777" w:rsidTr="00345119">
        <w:tc>
          <w:tcPr>
            <w:tcW w:w="9576" w:type="dxa"/>
          </w:tcPr>
          <w:p w14:paraId="68C0B74D" w14:textId="2CDCA148" w:rsidR="008423E4" w:rsidRPr="00861995" w:rsidRDefault="003678C1" w:rsidP="0091794F">
            <w:pPr>
              <w:jc w:val="right"/>
            </w:pPr>
            <w:r>
              <w:t>Licensing &amp; Administrative Procedures</w:t>
            </w:r>
          </w:p>
        </w:tc>
      </w:tr>
      <w:tr w:rsidR="00162405" w14:paraId="072ECBC8" w14:textId="77777777" w:rsidTr="00345119">
        <w:tc>
          <w:tcPr>
            <w:tcW w:w="9576" w:type="dxa"/>
          </w:tcPr>
          <w:p w14:paraId="24E1D82C" w14:textId="2762C7B0" w:rsidR="008423E4" w:rsidRDefault="003678C1" w:rsidP="0091794F">
            <w:pPr>
              <w:jc w:val="right"/>
            </w:pPr>
            <w:r>
              <w:t>Committee Report (Substituted)</w:t>
            </w:r>
          </w:p>
        </w:tc>
      </w:tr>
    </w:tbl>
    <w:p w14:paraId="294C6930" w14:textId="77777777" w:rsidR="008423E4" w:rsidRDefault="008423E4" w:rsidP="0091794F">
      <w:pPr>
        <w:tabs>
          <w:tab w:val="right" w:pos="9360"/>
        </w:tabs>
      </w:pPr>
    </w:p>
    <w:p w14:paraId="736C0C62" w14:textId="77777777" w:rsidR="008423E4" w:rsidRDefault="008423E4" w:rsidP="0091794F"/>
    <w:p w14:paraId="1324036A" w14:textId="77777777" w:rsidR="008423E4" w:rsidRDefault="008423E4" w:rsidP="0091794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2405" w14:paraId="3C4DBC90" w14:textId="77777777" w:rsidTr="00345119">
        <w:tc>
          <w:tcPr>
            <w:tcW w:w="9576" w:type="dxa"/>
          </w:tcPr>
          <w:p w14:paraId="67A3BE11" w14:textId="77777777" w:rsidR="008423E4" w:rsidRPr="00A8133F" w:rsidRDefault="003678C1" w:rsidP="0091794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BF73BC" w14:textId="77777777" w:rsidR="008423E4" w:rsidRDefault="008423E4" w:rsidP="0091794F"/>
          <w:p w14:paraId="07CF20CD" w14:textId="4604CFDB" w:rsidR="00E83154" w:rsidRDefault="003678C1" w:rsidP="0091794F">
            <w:pPr>
              <w:pStyle w:val="Header"/>
              <w:jc w:val="both"/>
            </w:pPr>
            <w:r>
              <w:t xml:space="preserve">The vehicle marketplace </w:t>
            </w:r>
            <w:r w:rsidR="00893D83">
              <w:t xml:space="preserve">in Texas </w:t>
            </w:r>
            <w:r>
              <w:t>is rapidly changing</w:t>
            </w:r>
            <w:r w:rsidR="00893D83">
              <w:t>,</w:t>
            </w:r>
            <w:r>
              <w:t xml:space="preserve"> with most major automotive manufacturers on target to produce</w:t>
            </w:r>
            <w:r w:rsidR="00893D83">
              <w:t xml:space="preserve"> electric vehicles</w:t>
            </w:r>
            <w:r>
              <w:t xml:space="preserve"> </w:t>
            </w:r>
            <w:r w:rsidR="00893D83">
              <w:t>(</w:t>
            </w:r>
            <w:r>
              <w:t>EV</w:t>
            </w:r>
            <w:r w:rsidR="00AB4C3F">
              <w:t>s</w:t>
            </w:r>
            <w:r w:rsidR="00893D83">
              <w:t>)</w:t>
            </w:r>
            <w:r>
              <w:t xml:space="preserve"> and many planning to convert to EV production for all vehicles. </w:t>
            </w:r>
            <w:r w:rsidR="00064876">
              <w:t>ERCOT</w:t>
            </w:r>
            <w:r w:rsidR="008D5775" w:rsidRPr="008D5775">
              <w:t xml:space="preserve"> estimates there will be </w:t>
            </w:r>
            <w:r w:rsidR="008D5775">
              <w:t>one</w:t>
            </w:r>
            <w:r w:rsidR="008D5775" w:rsidRPr="008D5775">
              <w:t xml:space="preserve"> million electric vehicles on the road in Texas by 2028, </w:t>
            </w:r>
            <w:r w:rsidR="008D5775">
              <w:t>and</w:t>
            </w:r>
            <w:r w:rsidR="008D5775" w:rsidRPr="008D5775">
              <w:t xml:space="preserve"> the Texas Department of Motor Vehicles estimates </w:t>
            </w:r>
            <w:r w:rsidR="008D5775">
              <w:t xml:space="preserve">the number of electric vehicles in </w:t>
            </w:r>
            <w:r w:rsidR="008D5775" w:rsidRPr="008D5775">
              <w:t>Texas will reach</w:t>
            </w:r>
            <w:r w:rsidR="008D5775">
              <w:t xml:space="preserve"> one mil</w:t>
            </w:r>
            <w:r w:rsidR="00885F21">
              <w:t>l</w:t>
            </w:r>
            <w:r w:rsidR="008D5775">
              <w:t>ion</w:t>
            </w:r>
            <w:r w:rsidR="008D5775" w:rsidRPr="008D5775">
              <w:t xml:space="preserve"> by 2031</w:t>
            </w:r>
            <w:r w:rsidR="008D5775">
              <w:t xml:space="preserve">. </w:t>
            </w:r>
            <w:r w:rsidR="00793193">
              <w:t>Through</w:t>
            </w:r>
            <w:r>
              <w:t xml:space="preserve"> </w:t>
            </w:r>
            <w:r w:rsidR="00793193">
              <w:t>t</w:t>
            </w:r>
            <w:r>
              <w:t xml:space="preserve">he </w:t>
            </w:r>
            <w:r w:rsidR="00793193">
              <w:t xml:space="preserve">federal </w:t>
            </w:r>
            <w:r>
              <w:t>Bipartisan Infrastructure Investment and Jobs Act</w:t>
            </w:r>
            <w:r w:rsidR="00793193">
              <w:t>,</w:t>
            </w:r>
            <w:r w:rsidR="00013F9C">
              <w:t xml:space="preserve"> funds were </w:t>
            </w:r>
            <w:r w:rsidR="00013F9C" w:rsidRPr="008D5775">
              <w:t>allocate</w:t>
            </w:r>
            <w:r w:rsidR="00013F9C">
              <w:t>d</w:t>
            </w:r>
            <w:r w:rsidR="00013F9C" w:rsidRPr="008D5775">
              <w:t xml:space="preserve"> to build 500,000 EV charging stations throughout the country</w:t>
            </w:r>
            <w:r w:rsidR="00013F9C">
              <w:t>, and</w:t>
            </w:r>
            <w:r w:rsidR="00793193">
              <w:t xml:space="preserve"> a</w:t>
            </w:r>
            <w:r>
              <w:t xml:space="preserve">pproximately $408 million </w:t>
            </w:r>
            <w:r w:rsidR="00793193">
              <w:t>will be</w:t>
            </w:r>
            <w:r>
              <w:t xml:space="preserve"> allocated to Texas to build out EV charging infrastructure over the next </w:t>
            </w:r>
            <w:r w:rsidR="00793193">
              <w:t xml:space="preserve">several </w:t>
            </w:r>
            <w:r>
              <w:t xml:space="preserve">years. The National Institute of Standards and Technology </w:t>
            </w:r>
            <w:r w:rsidR="00FD2041">
              <w:t>and</w:t>
            </w:r>
            <w:r>
              <w:t xml:space="preserve"> the Nationa</w:t>
            </w:r>
            <w:r>
              <w:t xml:space="preserve">l Conference on Weights and Measures have developed standards for measuring devices in EV charging stations. </w:t>
            </w:r>
            <w:r w:rsidR="00CF0BA8">
              <w:t>C.S.S.B. 1001</w:t>
            </w:r>
            <w:r>
              <w:t xml:space="preserve"> </w:t>
            </w:r>
            <w:r w:rsidR="00893D83">
              <w:t xml:space="preserve">seeks to </w:t>
            </w:r>
            <w:r>
              <w:t>create a regulatory framework for EV charging stations</w:t>
            </w:r>
            <w:r w:rsidR="00893D83">
              <w:t xml:space="preserve">, </w:t>
            </w:r>
            <w:r w:rsidR="00D55783">
              <w:t xml:space="preserve">under oversight of </w:t>
            </w:r>
            <w:r w:rsidR="00893D83">
              <w:t>t</w:t>
            </w:r>
            <w:r>
              <w:t xml:space="preserve">he </w:t>
            </w:r>
            <w:r w:rsidR="00927E56">
              <w:t xml:space="preserve">Texas </w:t>
            </w:r>
            <w:r>
              <w:t>Department of Licensing and Regulation</w:t>
            </w:r>
            <w:r w:rsidR="00D55783">
              <w:t xml:space="preserve">. </w:t>
            </w:r>
            <w:r w:rsidR="00CE4298">
              <w:t>Among other regulatory provisions, t</w:t>
            </w:r>
            <w:r w:rsidR="00D55783">
              <w:t xml:space="preserve">he bill provides for the use of </w:t>
            </w:r>
            <w:r>
              <w:t xml:space="preserve">nationally recognized </w:t>
            </w:r>
            <w:r w:rsidR="00044D4B">
              <w:t>s</w:t>
            </w:r>
            <w:r w:rsidR="00044D4B" w:rsidRPr="00044D4B">
              <w:t>pecifications for the installation and operation of electric vehicle supply equipment</w:t>
            </w:r>
            <w:r w:rsidR="00044D4B">
              <w:t>,</w:t>
            </w:r>
            <w:r>
              <w:t xml:space="preserve"> charging station</w:t>
            </w:r>
            <w:r w:rsidR="00CE4298">
              <w:t xml:space="preserve"> inspections</w:t>
            </w:r>
            <w:r w:rsidR="00D55783">
              <w:t xml:space="preserve">, certain consumer protections, and </w:t>
            </w:r>
            <w:r>
              <w:t>consumer comp</w:t>
            </w:r>
            <w:r>
              <w:t>laint</w:t>
            </w:r>
            <w:r w:rsidR="00D55783">
              <w:t xml:space="preserve"> procedure</w:t>
            </w:r>
            <w:r>
              <w:t>s.</w:t>
            </w:r>
          </w:p>
          <w:p w14:paraId="0F2FEAC2" w14:textId="77777777" w:rsidR="008423E4" w:rsidRPr="00E26B13" w:rsidRDefault="008423E4" w:rsidP="0091794F">
            <w:pPr>
              <w:rPr>
                <w:b/>
              </w:rPr>
            </w:pPr>
          </w:p>
        </w:tc>
      </w:tr>
      <w:tr w:rsidR="00162405" w14:paraId="2F55881E" w14:textId="77777777" w:rsidTr="00345119">
        <w:tc>
          <w:tcPr>
            <w:tcW w:w="9576" w:type="dxa"/>
          </w:tcPr>
          <w:p w14:paraId="0D47C0F9" w14:textId="77777777" w:rsidR="0017725B" w:rsidRDefault="003678C1" w:rsidP="009179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C2D013" w14:textId="77777777" w:rsidR="0017725B" w:rsidRDefault="0017725B" w:rsidP="0091794F">
            <w:pPr>
              <w:rPr>
                <w:b/>
                <w:u w:val="single"/>
              </w:rPr>
            </w:pPr>
          </w:p>
          <w:p w14:paraId="75019A04" w14:textId="597E94B8" w:rsidR="00416241" w:rsidRPr="00416241" w:rsidRDefault="003678C1" w:rsidP="0091794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</w:t>
            </w:r>
            <w:r>
              <w:t>for community supervision, parole, or mandatory supervision.</w:t>
            </w:r>
          </w:p>
          <w:p w14:paraId="1047D8D1" w14:textId="77777777" w:rsidR="0017725B" w:rsidRPr="0017725B" w:rsidRDefault="0017725B" w:rsidP="0091794F">
            <w:pPr>
              <w:rPr>
                <w:b/>
                <w:u w:val="single"/>
              </w:rPr>
            </w:pPr>
          </w:p>
        </w:tc>
      </w:tr>
      <w:tr w:rsidR="00162405" w14:paraId="4BBA10FB" w14:textId="77777777" w:rsidTr="00345119">
        <w:tc>
          <w:tcPr>
            <w:tcW w:w="9576" w:type="dxa"/>
          </w:tcPr>
          <w:p w14:paraId="7F53B798" w14:textId="77777777" w:rsidR="008423E4" w:rsidRPr="00A8133F" w:rsidRDefault="003678C1" w:rsidP="0091794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B7341C" w14:textId="77777777" w:rsidR="008423E4" w:rsidRDefault="008423E4" w:rsidP="0091794F"/>
          <w:p w14:paraId="58131820" w14:textId="0D63023C" w:rsidR="00416241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Texas Commission </w:t>
            </w:r>
            <w:r w:rsidRPr="007B02A2">
              <w:t>of Licensing and Regulation</w:t>
            </w:r>
            <w:r>
              <w:t xml:space="preserve"> in SECTION 1 of this bill.</w:t>
            </w:r>
          </w:p>
          <w:p w14:paraId="66CC6E8D" w14:textId="77777777" w:rsidR="008423E4" w:rsidRPr="00E21FDC" w:rsidRDefault="008423E4" w:rsidP="0091794F">
            <w:pPr>
              <w:rPr>
                <w:b/>
              </w:rPr>
            </w:pPr>
          </w:p>
        </w:tc>
      </w:tr>
      <w:tr w:rsidR="00162405" w14:paraId="689336F6" w14:textId="77777777" w:rsidTr="00345119">
        <w:tc>
          <w:tcPr>
            <w:tcW w:w="9576" w:type="dxa"/>
          </w:tcPr>
          <w:p w14:paraId="3C2A4D64" w14:textId="77777777" w:rsidR="008423E4" w:rsidRPr="00A8133F" w:rsidRDefault="003678C1" w:rsidP="0091794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E7D7DC" w14:textId="77777777" w:rsidR="008423E4" w:rsidRDefault="008423E4" w:rsidP="0091794F"/>
          <w:p w14:paraId="2BF7E29F" w14:textId="5E74BEF3" w:rsidR="00B97107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1001 </w:t>
            </w:r>
            <w:r w:rsidR="00877D6D">
              <w:t>amends the Occupations Code to provide for the regulation of electric vehicle supply equipment</w:t>
            </w:r>
            <w:r w:rsidR="007A2304">
              <w:t xml:space="preserve">, defined as a </w:t>
            </w:r>
            <w:r w:rsidR="007A2304" w:rsidRPr="007A2304">
              <w:t>device or equipment used to dispense electrical energy to an electric vehicle</w:t>
            </w:r>
            <w:r w:rsidR="007A2304">
              <w:t>,</w:t>
            </w:r>
            <w:r w:rsidR="00877D6D">
              <w:t xml:space="preserve"> and electric vehicle supply providers, defined </w:t>
            </w:r>
            <w:r w:rsidR="007A2304">
              <w:t xml:space="preserve">as </w:t>
            </w:r>
            <w:r w:rsidR="007A2304" w:rsidRPr="007A2304">
              <w:t>owner</w:t>
            </w:r>
            <w:r w:rsidR="007A2304">
              <w:t>s</w:t>
            </w:r>
            <w:r w:rsidR="007A2304" w:rsidRPr="007A2304">
              <w:t xml:space="preserve"> or operator</w:t>
            </w:r>
            <w:r w:rsidR="007A2304">
              <w:t>s</w:t>
            </w:r>
            <w:r w:rsidR="007A2304" w:rsidRPr="007A2304">
              <w:t xml:space="preserve"> of electric vehicle supply equipment that is available and accessible to the public to provide electrical energy through a commercial transaction</w:t>
            </w:r>
            <w:r w:rsidR="00877D6D">
              <w:t xml:space="preserve">. The bill requires the Texas Commission of Licensing and Regulation (TCLR) </w:t>
            </w:r>
            <w:r w:rsidR="00395A86">
              <w:t xml:space="preserve">by rule </w:t>
            </w:r>
            <w:r w:rsidR="00877D6D">
              <w:t>to set fees in amounts sufficient to cover the costs of administering the bill's provisions and, not later than December 1, 202</w:t>
            </w:r>
            <w:r w:rsidR="00F81890">
              <w:t>4</w:t>
            </w:r>
            <w:r w:rsidR="00877D6D">
              <w:t xml:space="preserve">, to adopt rules to implement the bill's provisions. The bill provides for the </w:t>
            </w:r>
            <w:r w:rsidR="00877D6D" w:rsidRPr="008337BB">
              <w:t>inspection</w:t>
            </w:r>
            <w:r w:rsidR="00877D6D">
              <w:t xml:space="preserve"> of electric vehicle supply equipment by the Texas Department of Licensing and Regulation (TDLR) and authorizes TDLR to c</w:t>
            </w:r>
            <w:r w:rsidR="00877D6D" w:rsidRPr="00092508">
              <w:t>ontract to perform duties related to equipment, including inspections</w:t>
            </w:r>
            <w:r w:rsidR="00C97887">
              <w:t xml:space="preserve">. </w:t>
            </w:r>
            <w:r w:rsidR="00877D6D">
              <w:t xml:space="preserve">The bill </w:t>
            </w:r>
            <w:r w:rsidR="00C97887">
              <w:t xml:space="preserve">authorizes TCLR to exempt </w:t>
            </w:r>
            <w:r w:rsidR="00872DCB">
              <w:t xml:space="preserve">by rule </w:t>
            </w:r>
            <w:r w:rsidR="00C97887">
              <w:t xml:space="preserve">equipment from the bill's requirements and </w:t>
            </w:r>
            <w:r w:rsidR="00877D6D">
              <w:t>exempt</w:t>
            </w:r>
            <w:r w:rsidR="00AE6E73">
              <w:t>s equipment that</w:t>
            </w:r>
            <w:r w:rsidR="009A745F">
              <w:t>, in accordance with TCLR rule,</w:t>
            </w:r>
            <w:r w:rsidR="00AE6E73">
              <w:t xml:space="preserve"> is</w:t>
            </w:r>
            <w:r>
              <w:t>,</w:t>
            </w:r>
            <w:r w:rsidR="00AE6E73">
              <w:t xml:space="preserve"> </w:t>
            </w:r>
            <w:r>
              <w:t>as follows:</w:t>
            </w:r>
          </w:p>
          <w:p w14:paraId="1BD8DA7F" w14:textId="77777777" w:rsidR="00B97107" w:rsidRDefault="003678C1" w:rsidP="0091794F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 w:rsidRPr="00AE6E73">
              <w:t>installed in or adjacent to a private residence for noncommercial use</w:t>
            </w:r>
            <w:r>
              <w:t>;</w:t>
            </w:r>
          </w:p>
          <w:p w14:paraId="43861FA7" w14:textId="126A547E" w:rsidR="00B97107" w:rsidRDefault="003678C1" w:rsidP="0091794F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 w:rsidRPr="00AE6E73">
              <w:t xml:space="preserve">provided for the exclusive use of an individual, or a group of individuals, including employees, tenants, visitors, or residents of </w:t>
            </w:r>
            <w:r w:rsidRPr="00AE6E73">
              <w:t>a multiunit housing or office development</w:t>
            </w:r>
            <w:r>
              <w:t>;</w:t>
            </w:r>
            <w:r w:rsidR="002A0447">
              <w:t xml:space="preserve"> or</w:t>
            </w:r>
            <w:r w:rsidR="0045509B">
              <w:t xml:space="preserve"> </w:t>
            </w:r>
          </w:p>
          <w:p w14:paraId="7AAC0330" w14:textId="3D7B700B" w:rsidR="00877D6D" w:rsidRDefault="003678C1" w:rsidP="0091794F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 w:rsidRPr="0045509B">
              <w:t>provided by a business for use at no charge</w:t>
            </w:r>
            <w:r>
              <w:t>.</w:t>
            </w:r>
          </w:p>
          <w:p w14:paraId="28FE98A8" w14:textId="3EBA60C1" w:rsidR="0045509B" w:rsidRDefault="0045509B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1E9911" w14:textId="3B1EB02C" w:rsidR="0045509B" w:rsidRDefault="003678C1" w:rsidP="0091794F">
            <w:pPr>
              <w:pStyle w:val="Header"/>
              <w:jc w:val="both"/>
            </w:pPr>
            <w:r>
              <w:t>C.S.S.B. 1001 authorizes TCLR to adopt rules to regulate electric vehicle supply equipment in operation before January 1, 2024, that has never had a metering syste</w:t>
            </w:r>
            <w:r>
              <w:t>m in place capable of measuring electricity transferred from the charging station to the vehicle or is not capable of measuring the time elapsed while actively charging a vehicle and calculating a fee for the charging session.</w:t>
            </w:r>
          </w:p>
          <w:p w14:paraId="6C563039" w14:textId="77777777" w:rsidR="0045509B" w:rsidRDefault="0045509B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AF0A23C" w14:textId="637C996F" w:rsidR="00105E43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1001 </w:t>
            </w:r>
            <w:r w:rsidR="00877D6D">
              <w:t>sets out requirements for an electric vehicle supply provider, including</w:t>
            </w:r>
            <w:r>
              <w:t xml:space="preserve"> the following:</w:t>
            </w:r>
          </w:p>
          <w:p w14:paraId="1DD2C0F6" w14:textId="21A85523" w:rsidR="00105E43" w:rsidRDefault="003678C1" w:rsidP="0091794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720"/>
              <w:jc w:val="both"/>
            </w:pPr>
            <w:r>
              <w:t>registering, not later than March 1, 202</w:t>
            </w:r>
            <w:r w:rsidR="00F81890">
              <w:t>5</w:t>
            </w:r>
            <w:r>
              <w:t>, and maintaining electric vehicle supply equipment;</w:t>
            </w:r>
          </w:p>
          <w:p w14:paraId="66E7763E" w14:textId="51D6EDDD" w:rsidR="00105E43" w:rsidRDefault="003678C1" w:rsidP="0091794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720"/>
              <w:jc w:val="both"/>
            </w:pPr>
            <w:r>
              <w:t>disclosing</w:t>
            </w:r>
            <w:r w:rsidR="00E80627">
              <w:t xml:space="preserve"> to the consumer</w:t>
            </w:r>
            <w:r>
              <w:t xml:space="preserve"> the fee calculation method or methods</w:t>
            </w:r>
            <w:r w:rsidR="00E80627">
              <w:t>, the rate the consumer will be charged,</w:t>
            </w:r>
            <w:r>
              <w:t xml:space="preserve"> and applicable surcharges; and</w:t>
            </w:r>
          </w:p>
          <w:p w14:paraId="3F4743FB" w14:textId="3E17179C" w:rsidR="00105E43" w:rsidRDefault="003678C1" w:rsidP="0091794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720"/>
              <w:jc w:val="both"/>
            </w:pPr>
            <w:r>
              <w:t>transmitting, on user request, a</w:t>
            </w:r>
            <w:r w:rsidR="00F352FC">
              <w:t xml:space="preserve"> </w:t>
            </w:r>
            <w:r>
              <w:t xml:space="preserve">receipt containing certain specified information relating to the </w:t>
            </w:r>
            <w:r w:rsidR="00E80627">
              <w:t xml:space="preserve">equipment and the </w:t>
            </w:r>
            <w:r>
              <w:t>commercial transaction</w:t>
            </w:r>
            <w:r w:rsidR="00877D6D">
              <w:t xml:space="preserve">. </w:t>
            </w:r>
          </w:p>
          <w:p w14:paraId="7D03AD87" w14:textId="499A9B72" w:rsidR="00877D6D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</w:t>
            </w:r>
            <w:r>
              <w:t xml:space="preserve">ill requires TDLR to issue </w:t>
            </w:r>
            <w:r w:rsidR="002E3DC5">
              <w:t xml:space="preserve">a </w:t>
            </w:r>
            <w:r>
              <w:t xml:space="preserve">registration </w:t>
            </w:r>
            <w:r w:rsidRPr="00A1589A">
              <w:t>to each applicant that meets the requirements</w:t>
            </w:r>
            <w:r>
              <w:t xml:space="preserve"> specified by the bill</w:t>
            </w:r>
            <w:r w:rsidR="00D22B0E">
              <w:t>.</w:t>
            </w:r>
          </w:p>
          <w:p w14:paraId="1124FF7E" w14:textId="77777777" w:rsidR="00877D6D" w:rsidRDefault="00877D6D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36A4A88" w14:textId="05DDB273" w:rsidR="00877D6D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1001 requires specifications </w:t>
            </w:r>
            <w:r w:rsidRPr="00822DB6">
              <w:t xml:space="preserve">and </w:t>
            </w:r>
            <w:r w:rsidR="00D22B0E">
              <w:t xml:space="preserve">tolerances for </w:t>
            </w:r>
            <w:r w:rsidRPr="00822DB6">
              <w:t xml:space="preserve">electric vehicle supply equipment </w:t>
            </w:r>
            <w:r>
              <w:t xml:space="preserve">to </w:t>
            </w:r>
            <w:r w:rsidRPr="00822DB6">
              <w:t>be the same as those recommended by the National I</w:t>
            </w:r>
            <w:r w:rsidRPr="00822DB6">
              <w:t>nstitute of Standards and Technology</w:t>
            </w:r>
            <w:r>
              <w:t xml:space="preserve"> and requires equipment to be installed and operated in accordance with </w:t>
            </w:r>
            <w:r w:rsidR="00AB4C3F">
              <w:t>the Texas Electrical Safety and Licensing Act</w:t>
            </w:r>
            <w:r>
              <w:t>. The bill provides for the repair and removal of damaged electric vehicle supply equipment.</w:t>
            </w:r>
            <w:r w:rsidR="00B066FC">
              <w:t xml:space="preserve"> The bill requires TCLR, in consultation with </w:t>
            </w:r>
            <w:r w:rsidR="000A16A6">
              <w:t>Texas Department of Transportation</w:t>
            </w:r>
            <w:r w:rsidR="00B066FC">
              <w:t xml:space="preserve">, </w:t>
            </w:r>
            <w:r w:rsidR="00A44E06">
              <w:t xml:space="preserve">to </w:t>
            </w:r>
            <w:r w:rsidR="00B066FC">
              <w:t xml:space="preserve">adopt </w:t>
            </w:r>
            <w:r w:rsidR="00B066FC" w:rsidRPr="00B066FC">
              <w:t>standards that require electric vehicle supply equipment</w:t>
            </w:r>
            <w:r w:rsidR="00B066FC">
              <w:t xml:space="preserve">, </w:t>
            </w:r>
            <w:r w:rsidR="00B066FC" w:rsidRPr="00B066FC">
              <w:t>installed after December 1, 2024, that is made available to the public and not intended primarily for private use</w:t>
            </w:r>
            <w:r w:rsidR="00B066FC">
              <w:t>,</w:t>
            </w:r>
            <w:r w:rsidR="00B066FC" w:rsidRPr="00B066FC">
              <w:t xml:space="preserve"> to be equipped with a standard electric vehicle charging connector or plug type that is widely compatible with as many types of electric vehicles as practicable</w:t>
            </w:r>
            <w:r w:rsidR="00B066FC">
              <w:t>.</w:t>
            </w:r>
            <w:r w:rsidR="008667C6">
              <w:t xml:space="preserve"> </w:t>
            </w:r>
            <w:r w:rsidR="00E04E67">
              <w:t>The bill authorizes TCLR to adopt rules as necessary to establish standards under the bill's provisions.</w:t>
            </w:r>
            <w:r w:rsidR="007D4B67">
              <w:t xml:space="preserve"> The bill does not require such </w:t>
            </w:r>
            <w:r w:rsidR="007D4B67" w:rsidRPr="00B066FC">
              <w:t>electric vehicle supply equipment</w:t>
            </w:r>
            <w:r w:rsidR="007D4B67">
              <w:t xml:space="preserve"> to comply with the adopted rules or standards </w:t>
            </w:r>
            <w:r w:rsidR="007D4B67" w:rsidRPr="00391EDC">
              <w:t>until January 1, 2030</w:t>
            </w:r>
            <w:r w:rsidR="007D4B67">
              <w:t>.</w:t>
            </w:r>
          </w:p>
          <w:p w14:paraId="2FBA215E" w14:textId="77777777" w:rsidR="00877D6D" w:rsidRDefault="00877D6D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29EE473" w14:textId="7C837D6D" w:rsidR="00877D6D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1001 requires e</w:t>
            </w:r>
            <w:r w:rsidRPr="000C6174">
              <w:t xml:space="preserve">lectric vehicle supply equipment </w:t>
            </w:r>
            <w:r>
              <w:t>to</w:t>
            </w:r>
            <w:r w:rsidRPr="000C6174">
              <w:t xml:space="preserve"> be operated in compliance with manufacturer specifications, </w:t>
            </w:r>
            <w:r>
              <w:t>the bill's provisions</w:t>
            </w:r>
            <w:r w:rsidRPr="000C6174">
              <w:t xml:space="preserve">, and </w:t>
            </w:r>
            <w:r>
              <w:t>TCLR</w:t>
            </w:r>
            <w:r w:rsidRPr="000C6174">
              <w:t xml:space="preserve"> rules </w:t>
            </w:r>
            <w:r>
              <w:t>as follows:</w:t>
            </w:r>
          </w:p>
          <w:p w14:paraId="74AEC652" w14:textId="5B6FCA1D" w:rsidR="00877D6D" w:rsidRDefault="003678C1" w:rsidP="0091794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if </w:t>
            </w:r>
            <w:r w:rsidRPr="000C6174">
              <w:t>installed before the bill's effective date</w:t>
            </w:r>
            <w:r>
              <w:t>, not later than March 1, 202</w:t>
            </w:r>
            <w:r w:rsidR="00E13B60">
              <w:t>8</w:t>
            </w:r>
            <w:r>
              <w:t>;</w:t>
            </w:r>
          </w:p>
          <w:p w14:paraId="6FFB40FB" w14:textId="19F34001" w:rsidR="00877D6D" w:rsidRDefault="003678C1" w:rsidP="0091794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if installed on or after </w:t>
            </w:r>
            <w:r w:rsidR="00E04E67">
              <w:t xml:space="preserve">the bill's effective date </w:t>
            </w:r>
            <w:r>
              <w:t xml:space="preserve">and before </w:t>
            </w:r>
            <w:r w:rsidR="00F81890">
              <w:t>March 1</w:t>
            </w:r>
            <w:r>
              <w:t>, 202</w:t>
            </w:r>
            <w:r w:rsidR="00F81890">
              <w:t>5</w:t>
            </w:r>
            <w:r>
              <w:t>, not later than March</w:t>
            </w:r>
            <w:r w:rsidR="00E22604">
              <w:t> </w:t>
            </w:r>
            <w:r>
              <w:t>1, 202</w:t>
            </w:r>
            <w:r w:rsidR="00F81890">
              <w:t>5</w:t>
            </w:r>
            <w:r>
              <w:t>; and</w:t>
            </w:r>
          </w:p>
          <w:p w14:paraId="14F8CD81" w14:textId="11D74A67" w:rsidR="00877D6D" w:rsidRDefault="003678C1" w:rsidP="0091794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jc w:val="both"/>
            </w:pPr>
            <w:r>
              <w:t>if installed on or after March 1, 202</w:t>
            </w:r>
            <w:r w:rsidR="00F81890">
              <w:t>5</w:t>
            </w:r>
            <w:r>
              <w:t xml:space="preserve">, </w:t>
            </w:r>
            <w:r w:rsidR="00E04E67">
              <w:t>when the equipment begins</w:t>
            </w:r>
            <w:r w:rsidR="00615994">
              <w:t xml:space="preserve"> operati</w:t>
            </w:r>
            <w:r w:rsidR="00E04E67">
              <w:t>ng</w:t>
            </w:r>
            <w:r>
              <w:t>.</w:t>
            </w:r>
          </w:p>
          <w:p w14:paraId="27F08C21" w14:textId="77777777" w:rsidR="00877D6D" w:rsidRDefault="00877D6D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3CA5A7" w14:textId="4DE496EB" w:rsidR="00877D6D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1001 requires the executive director of TDLR to establish methods of notifying cons</w:t>
            </w:r>
            <w:r>
              <w:t>umers of certain information for the purpose of directing complaints to TDLR and requires an electric vehicle supply provider, in accordance with TCLR rule, to provide</w:t>
            </w:r>
            <w:r w:rsidR="00B117CA">
              <w:t xml:space="preserve"> to consumers notice regarding TDLR regulation of the equipment and </w:t>
            </w:r>
            <w:r>
              <w:t>information on filing</w:t>
            </w:r>
            <w:r>
              <w:t xml:space="preserve"> a complaint with TDLR. The bill subjects a person in violation of the bill's provisions or a rule adopted under the bill's provisions to the denial of an application, imposition of an administrative penalty, or disciplinary action</w:t>
            </w:r>
            <w:r w:rsidR="00B117CA">
              <w:t xml:space="preserve"> and administrative sanctions</w:t>
            </w:r>
            <w:r w:rsidR="00EA1AFF">
              <w:t xml:space="preserve"> against a license</w:t>
            </w:r>
            <w:r>
              <w:t xml:space="preserve"> and establishes that a </w:t>
            </w:r>
            <w:r w:rsidRPr="00201049">
              <w:t xml:space="preserve">proceeding for the denial of a registration or a disciplinary action or an appeal from that proceeding is governed by </w:t>
            </w:r>
            <w:r w:rsidR="00B117CA">
              <w:t>the</w:t>
            </w:r>
            <w:r>
              <w:t xml:space="preserve"> </w:t>
            </w:r>
            <w:r w:rsidR="00B117CA">
              <w:t>A</w:t>
            </w:r>
            <w:r>
              <w:t xml:space="preserve">dministrative </w:t>
            </w:r>
            <w:r w:rsidR="00B117CA">
              <w:t>P</w:t>
            </w:r>
            <w:r>
              <w:t>rocedure</w:t>
            </w:r>
            <w:r w:rsidR="00B117CA">
              <w:t xml:space="preserve"> Act</w:t>
            </w:r>
            <w:r>
              <w:t>.</w:t>
            </w:r>
          </w:p>
          <w:p w14:paraId="7BABE56F" w14:textId="77777777" w:rsidR="00877D6D" w:rsidRDefault="00877D6D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0331858" w14:textId="75E69E27" w:rsidR="009D3A1B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1001 </w:t>
            </w:r>
            <w:r w:rsidR="00877D6D">
              <w:t>adds a temporary provision set to expire December 1, 202</w:t>
            </w:r>
            <w:r w:rsidR="00F81890">
              <w:t>4</w:t>
            </w:r>
            <w:r w:rsidR="00877D6D">
              <w:t>, authorizing TDLR to e</w:t>
            </w:r>
            <w:r w:rsidR="00877D6D" w:rsidRPr="006B2852">
              <w:t>stablish and lead a stakeholder work group to provide input, advice, and recommendations on the activities under</w:t>
            </w:r>
            <w:r w:rsidR="00877D6D">
              <w:t xml:space="preserve"> the bill's provisions and requiring TDLR to </w:t>
            </w:r>
            <w:r w:rsidR="00877D6D" w:rsidRPr="006B2852">
              <w:t>establish the size,</w:t>
            </w:r>
            <w:r w:rsidR="00877D6D">
              <w:t xml:space="preserve"> composition, and scope of the </w:t>
            </w:r>
            <w:r w:rsidR="00877D6D" w:rsidRPr="006B2852">
              <w:t>work group</w:t>
            </w:r>
            <w:r w:rsidR="00877D6D">
              <w:t>.</w:t>
            </w:r>
          </w:p>
          <w:p w14:paraId="2993F990" w14:textId="372EB3EC" w:rsidR="009D3A1B" w:rsidRDefault="009D3A1B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B92B05" w14:textId="737F370C" w:rsidR="009D3A1B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1001 defines </w:t>
            </w:r>
            <w:r w:rsidRPr="009D3A1B">
              <w:t>"</w:t>
            </w:r>
            <w:r>
              <w:t>c</w:t>
            </w:r>
            <w:r w:rsidRPr="009D3A1B">
              <w:t xml:space="preserve">ommercial transaction" </w:t>
            </w:r>
            <w:r>
              <w:t>a</w:t>
            </w:r>
            <w:r w:rsidRPr="009D3A1B">
              <w:t>s any sale or exchange for compensation of electrical energy through a digital network</w:t>
            </w:r>
            <w:r>
              <w:t xml:space="preserve"> and </w:t>
            </w:r>
            <w:r w:rsidRPr="009D3A1B">
              <w:t>"</w:t>
            </w:r>
            <w:r>
              <w:t>d</w:t>
            </w:r>
            <w:r w:rsidRPr="009D3A1B">
              <w:t xml:space="preserve">igital network" </w:t>
            </w:r>
            <w:r>
              <w:t>as</w:t>
            </w:r>
            <w:r w:rsidRPr="009D3A1B">
              <w:t xml:space="preserve"> an online-enabled application, website, or system offered or used by an electric vehicle </w:t>
            </w:r>
            <w:r>
              <w:t>supply</w:t>
            </w:r>
            <w:r w:rsidRPr="009D3A1B">
              <w:t xml:space="preserve"> provider that allows a user to initiate a commercial transaction to dispense electrical energy from electric vehicle supply equipment to an electric vehicle.</w:t>
            </w:r>
          </w:p>
          <w:p w14:paraId="74C5EFF3" w14:textId="138797E0" w:rsidR="007E52D5" w:rsidRPr="00835628" w:rsidRDefault="007E52D5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62405" w14:paraId="0EBE4852" w14:textId="77777777" w:rsidTr="00345119">
        <w:tc>
          <w:tcPr>
            <w:tcW w:w="9576" w:type="dxa"/>
          </w:tcPr>
          <w:p w14:paraId="72B06BAF" w14:textId="77777777" w:rsidR="008423E4" w:rsidRPr="00A8133F" w:rsidRDefault="003678C1" w:rsidP="0091794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1FFD20" w14:textId="77777777" w:rsidR="008423E4" w:rsidRDefault="008423E4" w:rsidP="0091794F"/>
          <w:p w14:paraId="673EABD5" w14:textId="3DB117CE" w:rsidR="008423E4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 w:rsidR="002A74F5">
              <w:t>September 1, 2023.</w:t>
            </w:r>
          </w:p>
          <w:p w14:paraId="6A530A47" w14:textId="77777777" w:rsidR="008423E4" w:rsidRPr="00233FDB" w:rsidRDefault="008423E4" w:rsidP="0091794F">
            <w:pPr>
              <w:rPr>
                <w:b/>
              </w:rPr>
            </w:pPr>
          </w:p>
        </w:tc>
      </w:tr>
      <w:tr w:rsidR="00162405" w14:paraId="14CD43DE" w14:textId="77777777" w:rsidTr="00345119">
        <w:tc>
          <w:tcPr>
            <w:tcW w:w="9576" w:type="dxa"/>
          </w:tcPr>
          <w:p w14:paraId="7C205930" w14:textId="77777777" w:rsidR="000E35E9" w:rsidRDefault="003678C1" w:rsidP="0091794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186C1B27" w14:textId="77777777" w:rsidR="000C016A" w:rsidRDefault="000C016A" w:rsidP="0091794F">
            <w:pPr>
              <w:jc w:val="both"/>
            </w:pPr>
          </w:p>
          <w:p w14:paraId="456B9E62" w14:textId="521C83B7" w:rsidR="00BC37AF" w:rsidRDefault="003678C1" w:rsidP="0091794F">
            <w:pPr>
              <w:jc w:val="both"/>
            </w:pPr>
            <w:r>
              <w:t xml:space="preserve">While C.S.S.B. 1001 may differ from the engrossed in minor or nonsubstantive ways, the following summarizes the </w:t>
            </w:r>
            <w:r>
              <w:t>substantial differences between the engrossed and committee substitute versions of the bill.</w:t>
            </w:r>
          </w:p>
          <w:p w14:paraId="75C5F184" w14:textId="2F0387C3" w:rsidR="000C016A" w:rsidRDefault="000C016A" w:rsidP="0091794F">
            <w:pPr>
              <w:jc w:val="both"/>
            </w:pPr>
          </w:p>
          <w:p w14:paraId="1A1B6A8A" w14:textId="089FB654" w:rsidR="00450B07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F1650">
              <w:t xml:space="preserve">The substitute includes provisions that were not in the </w:t>
            </w:r>
            <w:r>
              <w:t>engrossed</w:t>
            </w:r>
            <w:r w:rsidRPr="002F1650">
              <w:t xml:space="preserve"> </w:t>
            </w:r>
            <w:r>
              <w:t xml:space="preserve">requiring TCLR to adopt </w:t>
            </w:r>
            <w:r w:rsidRPr="00B066FC">
              <w:t xml:space="preserve">standards that require </w:t>
            </w:r>
            <w:r>
              <w:t xml:space="preserve">specified </w:t>
            </w:r>
            <w:r w:rsidRPr="00B066FC">
              <w:t>electric vehicle supply equipment</w:t>
            </w:r>
            <w:r>
              <w:t xml:space="preserve"> </w:t>
            </w:r>
            <w:r w:rsidRPr="00B066FC">
              <w:t>insta</w:t>
            </w:r>
            <w:r w:rsidRPr="00B066FC">
              <w:t xml:space="preserve">lled after December 1, 2024, to be equipped with a standard electric vehicle charging connector or </w:t>
            </w:r>
            <w:r>
              <w:t xml:space="preserve">widely compatible </w:t>
            </w:r>
            <w:r w:rsidRPr="00B066FC">
              <w:t>plug type</w:t>
            </w:r>
            <w:r>
              <w:t xml:space="preserve">. The substitute, unlike the engrossed, </w:t>
            </w:r>
            <w:r w:rsidR="003F71E2">
              <w:t>includes</w:t>
            </w:r>
            <w:r>
              <w:t xml:space="preserve"> a </w:t>
            </w:r>
            <w:r w:rsidR="0091512A">
              <w:t xml:space="preserve">provision establishing that </w:t>
            </w:r>
            <w:r>
              <w:t xml:space="preserve">such </w:t>
            </w:r>
            <w:r w:rsidR="0091512A">
              <w:t xml:space="preserve">a </w:t>
            </w:r>
            <w:r w:rsidRPr="00B066FC">
              <w:t>electric vehicle supply equipment</w:t>
            </w:r>
            <w:r>
              <w:t xml:space="preserve"> </w:t>
            </w:r>
            <w:r w:rsidR="0091512A">
              <w:t xml:space="preserve">is not required </w:t>
            </w:r>
            <w:r>
              <w:t xml:space="preserve">to comply with the adopted rules or standards </w:t>
            </w:r>
            <w:r w:rsidRPr="00391EDC">
              <w:t>until January 1, 2030</w:t>
            </w:r>
            <w:r>
              <w:t>.</w:t>
            </w:r>
          </w:p>
          <w:p w14:paraId="35E39602" w14:textId="295E2968" w:rsidR="00662767" w:rsidRDefault="00662767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9E8F85F" w14:textId="4E48F9D3" w:rsidR="00662767" w:rsidRDefault="003678C1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substitute omits the following provisions in the engrossed relating to specifications and tolerances </w:t>
            </w:r>
            <w:r w:rsidR="0091512A">
              <w:t xml:space="preserve">requirements </w:t>
            </w:r>
            <w:r w:rsidR="000A16A6">
              <w:t>for electric vehicle supply equipment</w:t>
            </w:r>
            <w:r>
              <w:t>:</w:t>
            </w:r>
          </w:p>
          <w:p w14:paraId="3BC8AFCB" w14:textId="204D725B" w:rsidR="006730B4" w:rsidRDefault="003678C1" w:rsidP="0091794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exemption from such </w:t>
            </w:r>
            <w:r>
              <w:t xml:space="preserve">requirements, until the 10th anniversary of the date the applicable TCLR rules are adopted, for electric vehicle supply equipment installed before December 31, 2023; </w:t>
            </w:r>
          </w:p>
          <w:p w14:paraId="5628D1EB" w14:textId="14383307" w:rsidR="006730B4" w:rsidRDefault="003678C1" w:rsidP="0091794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>a requirement for an electric vehicle supply provider that owns or operates such equipmen</w:t>
            </w:r>
            <w:r>
              <w:t>t</w:t>
            </w:r>
            <w:r w:rsidR="003F71E2">
              <w:t>, until the 10th anniversary of the date the applicable TCLR rules are adopted,</w:t>
            </w:r>
            <w:r>
              <w:t xml:space="preserve"> </w:t>
            </w:r>
            <w:r w:rsidR="003F71E2">
              <w:t xml:space="preserve">must </w:t>
            </w:r>
            <w:r>
              <w:t>provide free of charge to users, a universal adapter for dispensing electrical energy to electric vehicles at the location of the equipment; and</w:t>
            </w:r>
          </w:p>
          <w:p w14:paraId="117DDC4A" w14:textId="3F74E110" w:rsidR="000A16A6" w:rsidRDefault="003678C1" w:rsidP="0091794F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provision establishing </w:t>
            </w:r>
            <w:r>
              <w:t>a December 31, 2033, expiration date for the requirements.</w:t>
            </w:r>
          </w:p>
          <w:p w14:paraId="2AA90AB8" w14:textId="7734F466" w:rsidR="00223033" w:rsidRPr="003624F2" w:rsidRDefault="00223033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A1AC16" w14:textId="320D10C8" w:rsidR="00FA4572" w:rsidRDefault="00FA4572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600D4F3" w14:textId="598D2D3A" w:rsidR="00662767" w:rsidRDefault="00662767" w:rsidP="009179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B2A6764" w14:textId="39420A4C" w:rsidR="002F1650" w:rsidRPr="000C016A" w:rsidRDefault="002F1650" w:rsidP="0091794F">
            <w:pPr>
              <w:jc w:val="both"/>
            </w:pPr>
          </w:p>
        </w:tc>
      </w:tr>
      <w:tr w:rsidR="00162405" w14:paraId="4A4560BD" w14:textId="77777777" w:rsidTr="00345119">
        <w:tc>
          <w:tcPr>
            <w:tcW w:w="9576" w:type="dxa"/>
          </w:tcPr>
          <w:p w14:paraId="2C155AB3" w14:textId="77777777" w:rsidR="000E35E9" w:rsidRPr="009C1E9A" w:rsidRDefault="000E35E9" w:rsidP="0091794F">
            <w:pPr>
              <w:rPr>
                <w:b/>
                <w:u w:val="single"/>
              </w:rPr>
            </w:pPr>
          </w:p>
        </w:tc>
      </w:tr>
      <w:tr w:rsidR="00162405" w14:paraId="67135B01" w14:textId="77777777" w:rsidTr="00345119">
        <w:tc>
          <w:tcPr>
            <w:tcW w:w="9576" w:type="dxa"/>
          </w:tcPr>
          <w:p w14:paraId="3FD84672" w14:textId="77777777" w:rsidR="000E35E9" w:rsidRPr="000E35E9" w:rsidRDefault="000E35E9" w:rsidP="0091794F">
            <w:pPr>
              <w:jc w:val="both"/>
            </w:pPr>
          </w:p>
        </w:tc>
      </w:tr>
    </w:tbl>
    <w:p w14:paraId="34E9354D" w14:textId="77777777" w:rsidR="008423E4" w:rsidRPr="00BE0E75" w:rsidRDefault="008423E4" w:rsidP="0091794F">
      <w:pPr>
        <w:jc w:val="both"/>
        <w:rPr>
          <w:rFonts w:ascii="Arial" w:hAnsi="Arial"/>
          <w:sz w:val="16"/>
          <w:szCs w:val="16"/>
        </w:rPr>
      </w:pPr>
    </w:p>
    <w:p w14:paraId="71AE97B2" w14:textId="77777777" w:rsidR="004108C3" w:rsidRPr="008423E4" w:rsidRDefault="004108C3" w:rsidP="0091794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C43D" w14:textId="77777777" w:rsidR="00000000" w:rsidRDefault="003678C1">
      <w:r>
        <w:separator/>
      </w:r>
    </w:p>
  </w:endnote>
  <w:endnote w:type="continuationSeparator" w:id="0">
    <w:p w14:paraId="44BBD8BC" w14:textId="77777777" w:rsidR="00000000" w:rsidRDefault="0036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5F1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62405" w14:paraId="03A95A8D" w14:textId="77777777" w:rsidTr="009C1E9A">
      <w:trPr>
        <w:cantSplit/>
      </w:trPr>
      <w:tc>
        <w:tcPr>
          <w:tcW w:w="0" w:type="pct"/>
        </w:tcPr>
        <w:p w14:paraId="529A14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1023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25180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18A7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0E95D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2405" w14:paraId="44D5C2E7" w14:textId="77777777" w:rsidTr="009C1E9A">
      <w:trPr>
        <w:cantSplit/>
      </w:trPr>
      <w:tc>
        <w:tcPr>
          <w:tcW w:w="0" w:type="pct"/>
        </w:tcPr>
        <w:p w14:paraId="130391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F9DFB1" w14:textId="7E257F3E" w:rsidR="00EC379B" w:rsidRPr="009C1E9A" w:rsidRDefault="003678C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26298-D</w:t>
          </w:r>
        </w:p>
      </w:tc>
      <w:tc>
        <w:tcPr>
          <w:tcW w:w="2453" w:type="pct"/>
        </w:tcPr>
        <w:p w14:paraId="2F074458" w14:textId="72BE561B" w:rsidR="00EC379B" w:rsidRDefault="003678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1794F">
            <w:t>23.117.2036</w:t>
          </w:r>
          <w:r>
            <w:fldChar w:fldCharType="end"/>
          </w:r>
        </w:p>
      </w:tc>
    </w:tr>
    <w:tr w:rsidR="00162405" w14:paraId="5B7C7747" w14:textId="77777777" w:rsidTr="009C1E9A">
      <w:trPr>
        <w:cantSplit/>
      </w:trPr>
      <w:tc>
        <w:tcPr>
          <w:tcW w:w="0" w:type="pct"/>
        </w:tcPr>
        <w:p w14:paraId="57A2F71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ED87F8" w14:textId="27241F0D" w:rsidR="00EC379B" w:rsidRPr="009C1E9A" w:rsidRDefault="003678C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23001</w:t>
          </w:r>
        </w:p>
      </w:tc>
      <w:tc>
        <w:tcPr>
          <w:tcW w:w="2453" w:type="pct"/>
        </w:tcPr>
        <w:p w14:paraId="3085F66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E4BC2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62405" w14:paraId="1741D5D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F8CBF6" w14:textId="77777777" w:rsidR="00EC379B" w:rsidRDefault="003678C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3B58F2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B63B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E3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104D" w14:textId="77777777" w:rsidR="00000000" w:rsidRDefault="003678C1">
      <w:r>
        <w:separator/>
      </w:r>
    </w:p>
  </w:footnote>
  <w:footnote w:type="continuationSeparator" w:id="0">
    <w:p w14:paraId="223EF9D1" w14:textId="77777777" w:rsidR="00000000" w:rsidRDefault="0036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35A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182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B2B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6"/>
    <w:multiLevelType w:val="hybridMultilevel"/>
    <w:tmpl w:val="C8DC31F0"/>
    <w:lvl w:ilvl="0" w:tplc="58C85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328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02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65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9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27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4B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EF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82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115D"/>
    <w:multiLevelType w:val="hybridMultilevel"/>
    <w:tmpl w:val="B14411E0"/>
    <w:lvl w:ilvl="0" w:tplc="985A3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8B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88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6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E6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4A2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A7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2E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03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58E8"/>
    <w:multiLevelType w:val="hybridMultilevel"/>
    <w:tmpl w:val="2CA4F730"/>
    <w:lvl w:ilvl="0" w:tplc="98A2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84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09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EC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03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8E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23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2D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6A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C8A"/>
    <w:multiLevelType w:val="hybridMultilevel"/>
    <w:tmpl w:val="7D36F0B4"/>
    <w:lvl w:ilvl="0" w:tplc="30AA7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D4B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85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A3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A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AA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60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4B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80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7C4"/>
    <w:multiLevelType w:val="hybridMultilevel"/>
    <w:tmpl w:val="1DE2C01C"/>
    <w:lvl w:ilvl="0" w:tplc="EA96F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84F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C3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CE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09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29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0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ED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42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E3096"/>
    <w:multiLevelType w:val="hybridMultilevel"/>
    <w:tmpl w:val="15F474A2"/>
    <w:lvl w:ilvl="0" w:tplc="F8047CA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60202B04" w:tentative="1">
      <w:start w:val="1"/>
      <w:numFmt w:val="lowerLetter"/>
      <w:lvlText w:val="%2."/>
      <w:lvlJc w:val="left"/>
      <w:pPr>
        <w:ind w:left="1440" w:hanging="360"/>
      </w:pPr>
    </w:lvl>
    <w:lvl w:ilvl="2" w:tplc="C3065522" w:tentative="1">
      <w:start w:val="1"/>
      <w:numFmt w:val="lowerRoman"/>
      <w:lvlText w:val="%3."/>
      <w:lvlJc w:val="right"/>
      <w:pPr>
        <w:ind w:left="2160" w:hanging="180"/>
      </w:pPr>
    </w:lvl>
    <w:lvl w:ilvl="3" w:tplc="8B862F74" w:tentative="1">
      <w:start w:val="1"/>
      <w:numFmt w:val="decimal"/>
      <w:lvlText w:val="%4."/>
      <w:lvlJc w:val="left"/>
      <w:pPr>
        <w:ind w:left="2880" w:hanging="360"/>
      </w:pPr>
    </w:lvl>
    <w:lvl w:ilvl="4" w:tplc="CF5C97F6" w:tentative="1">
      <w:start w:val="1"/>
      <w:numFmt w:val="lowerLetter"/>
      <w:lvlText w:val="%5."/>
      <w:lvlJc w:val="left"/>
      <w:pPr>
        <w:ind w:left="3600" w:hanging="360"/>
      </w:pPr>
    </w:lvl>
    <w:lvl w:ilvl="5" w:tplc="2C32C570" w:tentative="1">
      <w:start w:val="1"/>
      <w:numFmt w:val="lowerRoman"/>
      <w:lvlText w:val="%6."/>
      <w:lvlJc w:val="right"/>
      <w:pPr>
        <w:ind w:left="4320" w:hanging="180"/>
      </w:pPr>
    </w:lvl>
    <w:lvl w:ilvl="6" w:tplc="06820EE2" w:tentative="1">
      <w:start w:val="1"/>
      <w:numFmt w:val="decimal"/>
      <w:lvlText w:val="%7."/>
      <w:lvlJc w:val="left"/>
      <w:pPr>
        <w:ind w:left="5040" w:hanging="360"/>
      </w:pPr>
    </w:lvl>
    <w:lvl w:ilvl="7" w:tplc="55CCC5E0" w:tentative="1">
      <w:start w:val="1"/>
      <w:numFmt w:val="lowerLetter"/>
      <w:lvlText w:val="%8."/>
      <w:lvlJc w:val="left"/>
      <w:pPr>
        <w:ind w:left="5760" w:hanging="360"/>
      </w:pPr>
    </w:lvl>
    <w:lvl w:ilvl="8" w:tplc="A57E5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1CA3"/>
    <w:multiLevelType w:val="hybridMultilevel"/>
    <w:tmpl w:val="7E48060A"/>
    <w:lvl w:ilvl="0" w:tplc="10001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A1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C7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63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A9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6E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4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3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8A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4499"/>
    <w:multiLevelType w:val="hybridMultilevel"/>
    <w:tmpl w:val="A878AC12"/>
    <w:lvl w:ilvl="0" w:tplc="9D70594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C4AABC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81E32A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EC61F7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5BC022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3F4AC0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0C8AB2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780E12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4402D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43044AF"/>
    <w:multiLevelType w:val="hybridMultilevel"/>
    <w:tmpl w:val="4094EEB4"/>
    <w:lvl w:ilvl="0" w:tplc="BA365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63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A05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25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C7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CE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49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C9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00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A364B"/>
    <w:multiLevelType w:val="hybridMultilevel"/>
    <w:tmpl w:val="3AAA1636"/>
    <w:lvl w:ilvl="0" w:tplc="022C9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07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6C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5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6B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A3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21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4C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664002">
    <w:abstractNumId w:val="6"/>
  </w:num>
  <w:num w:numId="2" w16cid:durableId="1216695508">
    <w:abstractNumId w:val="9"/>
  </w:num>
  <w:num w:numId="3" w16cid:durableId="1844323259">
    <w:abstractNumId w:val="5"/>
  </w:num>
  <w:num w:numId="4" w16cid:durableId="1396048151">
    <w:abstractNumId w:val="3"/>
  </w:num>
  <w:num w:numId="5" w16cid:durableId="416437519">
    <w:abstractNumId w:val="4"/>
  </w:num>
  <w:num w:numId="6" w16cid:durableId="1736513551">
    <w:abstractNumId w:val="2"/>
  </w:num>
  <w:num w:numId="7" w16cid:durableId="2020621720">
    <w:abstractNumId w:val="1"/>
  </w:num>
  <w:num w:numId="8" w16cid:durableId="1879662621">
    <w:abstractNumId w:val="7"/>
  </w:num>
  <w:num w:numId="9" w16cid:durableId="1750736624">
    <w:abstractNumId w:val="8"/>
  </w:num>
  <w:num w:numId="10" w16cid:durableId="132717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94"/>
    <w:rsid w:val="00000A70"/>
    <w:rsid w:val="00001EE7"/>
    <w:rsid w:val="000032B8"/>
    <w:rsid w:val="00003B06"/>
    <w:rsid w:val="000054B9"/>
    <w:rsid w:val="00006364"/>
    <w:rsid w:val="00007461"/>
    <w:rsid w:val="0001117E"/>
    <w:rsid w:val="0001125F"/>
    <w:rsid w:val="0001338E"/>
    <w:rsid w:val="00013D24"/>
    <w:rsid w:val="00013F9C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D14"/>
    <w:rsid w:val="00043B84"/>
    <w:rsid w:val="00044D4B"/>
    <w:rsid w:val="0004512B"/>
    <w:rsid w:val="000463F0"/>
    <w:rsid w:val="00046BDA"/>
    <w:rsid w:val="0004762E"/>
    <w:rsid w:val="000532BD"/>
    <w:rsid w:val="000545BA"/>
    <w:rsid w:val="000555E0"/>
    <w:rsid w:val="00055C12"/>
    <w:rsid w:val="000608B0"/>
    <w:rsid w:val="0006104C"/>
    <w:rsid w:val="00064876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508"/>
    <w:rsid w:val="00092ABC"/>
    <w:rsid w:val="00097AAF"/>
    <w:rsid w:val="00097D13"/>
    <w:rsid w:val="000A16A6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16A"/>
    <w:rsid w:val="000C12C4"/>
    <w:rsid w:val="000C49DA"/>
    <w:rsid w:val="000C4B3D"/>
    <w:rsid w:val="000C6174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5E9"/>
    <w:rsid w:val="000E5B20"/>
    <w:rsid w:val="000E5B9D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E43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7F2"/>
    <w:rsid w:val="00127893"/>
    <w:rsid w:val="001312BB"/>
    <w:rsid w:val="00137D90"/>
    <w:rsid w:val="00141FB6"/>
    <w:rsid w:val="00142F8E"/>
    <w:rsid w:val="00143C8B"/>
    <w:rsid w:val="00147530"/>
    <w:rsid w:val="0015273D"/>
    <w:rsid w:val="0015331F"/>
    <w:rsid w:val="00156AB2"/>
    <w:rsid w:val="00160402"/>
    <w:rsid w:val="00160571"/>
    <w:rsid w:val="00161E93"/>
    <w:rsid w:val="00162405"/>
    <w:rsid w:val="00162C7A"/>
    <w:rsid w:val="00162D4D"/>
    <w:rsid w:val="00162DAE"/>
    <w:rsid w:val="001639C5"/>
    <w:rsid w:val="00163E45"/>
    <w:rsid w:val="00165B1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49"/>
    <w:rsid w:val="002010D1"/>
    <w:rsid w:val="00201338"/>
    <w:rsid w:val="0020775D"/>
    <w:rsid w:val="0021163C"/>
    <w:rsid w:val="002116DD"/>
    <w:rsid w:val="0021383D"/>
    <w:rsid w:val="00216BBA"/>
    <w:rsid w:val="00216E12"/>
    <w:rsid w:val="00217466"/>
    <w:rsid w:val="0021751D"/>
    <w:rsid w:val="00217C49"/>
    <w:rsid w:val="0022177D"/>
    <w:rsid w:val="00223033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D32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38A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447"/>
    <w:rsid w:val="002A17C0"/>
    <w:rsid w:val="002A1A49"/>
    <w:rsid w:val="002A48DF"/>
    <w:rsid w:val="002A5A84"/>
    <w:rsid w:val="002A6E6F"/>
    <w:rsid w:val="002A74E4"/>
    <w:rsid w:val="002A74F5"/>
    <w:rsid w:val="002A7CFE"/>
    <w:rsid w:val="002B23ED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DC5"/>
    <w:rsid w:val="002E7DF9"/>
    <w:rsid w:val="002F097B"/>
    <w:rsid w:val="002F1650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783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8F3"/>
    <w:rsid w:val="00363854"/>
    <w:rsid w:val="00364315"/>
    <w:rsid w:val="003643E2"/>
    <w:rsid w:val="003678C1"/>
    <w:rsid w:val="00370155"/>
    <w:rsid w:val="003712D5"/>
    <w:rsid w:val="003747DF"/>
    <w:rsid w:val="00377E3D"/>
    <w:rsid w:val="003847E8"/>
    <w:rsid w:val="0038731D"/>
    <w:rsid w:val="00387B60"/>
    <w:rsid w:val="00390098"/>
    <w:rsid w:val="00391EDC"/>
    <w:rsid w:val="00392DA1"/>
    <w:rsid w:val="00393718"/>
    <w:rsid w:val="00395A86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978"/>
    <w:rsid w:val="003C64AF"/>
    <w:rsid w:val="003C664C"/>
    <w:rsid w:val="003D726D"/>
    <w:rsid w:val="003E0875"/>
    <w:rsid w:val="003E0BB8"/>
    <w:rsid w:val="003E1813"/>
    <w:rsid w:val="003E4D37"/>
    <w:rsid w:val="003E6CB0"/>
    <w:rsid w:val="003F1F5E"/>
    <w:rsid w:val="003F286A"/>
    <w:rsid w:val="003F71E2"/>
    <w:rsid w:val="003F77F8"/>
    <w:rsid w:val="00400ACD"/>
    <w:rsid w:val="00403B15"/>
    <w:rsid w:val="00403E8A"/>
    <w:rsid w:val="004101E4"/>
    <w:rsid w:val="00410661"/>
    <w:rsid w:val="004108C3"/>
    <w:rsid w:val="00410B33"/>
    <w:rsid w:val="00411394"/>
    <w:rsid w:val="004120CC"/>
    <w:rsid w:val="00412ED2"/>
    <w:rsid w:val="00412F0F"/>
    <w:rsid w:val="004134CE"/>
    <w:rsid w:val="004136A8"/>
    <w:rsid w:val="00414E2F"/>
    <w:rsid w:val="00415139"/>
    <w:rsid w:val="00416241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0B07"/>
    <w:rsid w:val="00451D7C"/>
    <w:rsid w:val="00452FC3"/>
    <w:rsid w:val="00454715"/>
    <w:rsid w:val="0045509B"/>
    <w:rsid w:val="00455936"/>
    <w:rsid w:val="00455ACE"/>
    <w:rsid w:val="00461B69"/>
    <w:rsid w:val="00462B3D"/>
    <w:rsid w:val="0046449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CBD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0FF5"/>
    <w:rsid w:val="004C302F"/>
    <w:rsid w:val="004C4609"/>
    <w:rsid w:val="004C4B8A"/>
    <w:rsid w:val="004C52EF"/>
    <w:rsid w:val="004C5BB6"/>
    <w:rsid w:val="004C5F34"/>
    <w:rsid w:val="004C600C"/>
    <w:rsid w:val="004C7888"/>
    <w:rsid w:val="004D0299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BB9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67C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5CB"/>
    <w:rsid w:val="005E18B5"/>
    <w:rsid w:val="005E1999"/>
    <w:rsid w:val="005E232C"/>
    <w:rsid w:val="005E2B83"/>
    <w:rsid w:val="005E4AEB"/>
    <w:rsid w:val="005E738F"/>
    <w:rsid w:val="005E788B"/>
    <w:rsid w:val="005F1519"/>
    <w:rsid w:val="005F4254"/>
    <w:rsid w:val="005F4862"/>
    <w:rsid w:val="005F5679"/>
    <w:rsid w:val="005F5FDF"/>
    <w:rsid w:val="005F6960"/>
    <w:rsid w:val="005F7000"/>
    <w:rsid w:val="005F7AAA"/>
    <w:rsid w:val="00600BAA"/>
    <w:rsid w:val="006012DA"/>
    <w:rsid w:val="006017F8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994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E2A"/>
    <w:rsid w:val="00662767"/>
    <w:rsid w:val="00662B77"/>
    <w:rsid w:val="00662D0E"/>
    <w:rsid w:val="00663265"/>
    <w:rsid w:val="0066345F"/>
    <w:rsid w:val="0066485B"/>
    <w:rsid w:val="0067036E"/>
    <w:rsid w:val="00671693"/>
    <w:rsid w:val="006730B4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602"/>
    <w:rsid w:val="006A6068"/>
    <w:rsid w:val="006B129D"/>
    <w:rsid w:val="006B12AE"/>
    <w:rsid w:val="006B16B3"/>
    <w:rsid w:val="006B1918"/>
    <w:rsid w:val="006B233E"/>
    <w:rsid w:val="006B23D8"/>
    <w:rsid w:val="006B2852"/>
    <w:rsid w:val="006B28D5"/>
    <w:rsid w:val="006B2A01"/>
    <w:rsid w:val="006B2B8C"/>
    <w:rsid w:val="006B2DEB"/>
    <w:rsid w:val="006B54C5"/>
    <w:rsid w:val="006B5E80"/>
    <w:rsid w:val="006B7A2E"/>
    <w:rsid w:val="006C2077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A61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193"/>
    <w:rsid w:val="0079487D"/>
    <w:rsid w:val="007966D4"/>
    <w:rsid w:val="00796A0A"/>
    <w:rsid w:val="0079792C"/>
    <w:rsid w:val="007A0989"/>
    <w:rsid w:val="007A2304"/>
    <w:rsid w:val="007A331F"/>
    <w:rsid w:val="007A3844"/>
    <w:rsid w:val="007A4381"/>
    <w:rsid w:val="007A5466"/>
    <w:rsid w:val="007A7EC1"/>
    <w:rsid w:val="007B02A2"/>
    <w:rsid w:val="007B4FCA"/>
    <w:rsid w:val="007B7B85"/>
    <w:rsid w:val="007C462E"/>
    <w:rsid w:val="007C496B"/>
    <w:rsid w:val="007C6803"/>
    <w:rsid w:val="007D2892"/>
    <w:rsid w:val="007D2DCC"/>
    <w:rsid w:val="007D3B2F"/>
    <w:rsid w:val="007D47E1"/>
    <w:rsid w:val="007D4B67"/>
    <w:rsid w:val="007D7FCB"/>
    <w:rsid w:val="007E33B6"/>
    <w:rsid w:val="007E52D5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80C"/>
    <w:rsid w:val="00822DB6"/>
    <w:rsid w:val="00823E4C"/>
    <w:rsid w:val="008257D1"/>
    <w:rsid w:val="00827749"/>
    <w:rsid w:val="00827B7E"/>
    <w:rsid w:val="00830EEB"/>
    <w:rsid w:val="008337B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AE6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7C6"/>
    <w:rsid w:val="00866F9D"/>
    <w:rsid w:val="008673D9"/>
    <w:rsid w:val="00871775"/>
    <w:rsid w:val="00871AEF"/>
    <w:rsid w:val="008726E5"/>
    <w:rsid w:val="0087289E"/>
    <w:rsid w:val="00872DCB"/>
    <w:rsid w:val="00874569"/>
    <w:rsid w:val="00874C05"/>
    <w:rsid w:val="0087588B"/>
    <w:rsid w:val="0087680A"/>
    <w:rsid w:val="00877D6D"/>
    <w:rsid w:val="008806EB"/>
    <w:rsid w:val="008826F2"/>
    <w:rsid w:val="008845BA"/>
    <w:rsid w:val="00884AE3"/>
    <w:rsid w:val="00885203"/>
    <w:rsid w:val="008859CA"/>
    <w:rsid w:val="00885F21"/>
    <w:rsid w:val="008861EE"/>
    <w:rsid w:val="00890B59"/>
    <w:rsid w:val="008930D7"/>
    <w:rsid w:val="00893D83"/>
    <w:rsid w:val="008947A7"/>
    <w:rsid w:val="00897E80"/>
    <w:rsid w:val="008A04FA"/>
    <w:rsid w:val="008A2CD6"/>
    <w:rsid w:val="008A3188"/>
    <w:rsid w:val="008A3FDF"/>
    <w:rsid w:val="008A6418"/>
    <w:rsid w:val="008A65FA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775"/>
    <w:rsid w:val="008D58F9"/>
    <w:rsid w:val="008D7427"/>
    <w:rsid w:val="008E3338"/>
    <w:rsid w:val="008E47BE"/>
    <w:rsid w:val="008F09DF"/>
    <w:rsid w:val="008F3053"/>
    <w:rsid w:val="008F3136"/>
    <w:rsid w:val="008F3BB0"/>
    <w:rsid w:val="008F40DF"/>
    <w:rsid w:val="008F49CB"/>
    <w:rsid w:val="008F5E16"/>
    <w:rsid w:val="008F5EFC"/>
    <w:rsid w:val="00900452"/>
    <w:rsid w:val="00901670"/>
    <w:rsid w:val="00902212"/>
    <w:rsid w:val="00903E0A"/>
    <w:rsid w:val="009043E0"/>
    <w:rsid w:val="00904721"/>
    <w:rsid w:val="00907780"/>
    <w:rsid w:val="00907EDD"/>
    <w:rsid w:val="009107AD"/>
    <w:rsid w:val="0091512A"/>
    <w:rsid w:val="00915568"/>
    <w:rsid w:val="0091794F"/>
    <w:rsid w:val="00917E0C"/>
    <w:rsid w:val="00920711"/>
    <w:rsid w:val="00921A1E"/>
    <w:rsid w:val="00924EA9"/>
    <w:rsid w:val="00925CE1"/>
    <w:rsid w:val="00925F5C"/>
    <w:rsid w:val="00927E56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AC1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45F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A1B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D91"/>
    <w:rsid w:val="009F7835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89A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E06"/>
    <w:rsid w:val="00A46902"/>
    <w:rsid w:val="00A50CDB"/>
    <w:rsid w:val="00A51F3E"/>
    <w:rsid w:val="00A52370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744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F56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C3F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E73"/>
    <w:rsid w:val="00AF1433"/>
    <w:rsid w:val="00AF48B4"/>
    <w:rsid w:val="00AF4923"/>
    <w:rsid w:val="00AF7C74"/>
    <w:rsid w:val="00B000AF"/>
    <w:rsid w:val="00B04E79"/>
    <w:rsid w:val="00B066FC"/>
    <w:rsid w:val="00B07380"/>
    <w:rsid w:val="00B07488"/>
    <w:rsid w:val="00B075A2"/>
    <w:rsid w:val="00B10DD2"/>
    <w:rsid w:val="00B115DC"/>
    <w:rsid w:val="00B117CA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BF7"/>
    <w:rsid w:val="00B34F25"/>
    <w:rsid w:val="00B43672"/>
    <w:rsid w:val="00B473D8"/>
    <w:rsid w:val="00B5165A"/>
    <w:rsid w:val="00B524C1"/>
    <w:rsid w:val="00B52C8D"/>
    <w:rsid w:val="00B54BFA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27A"/>
    <w:rsid w:val="00B95BC8"/>
    <w:rsid w:val="00B96E87"/>
    <w:rsid w:val="00B97107"/>
    <w:rsid w:val="00BA146A"/>
    <w:rsid w:val="00BA32EE"/>
    <w:rsid w:val="00BA3A95"/>
    <w:rsid w:val="00BA4A8D"/>
    <w:rsid w:val="00BB5436"/>
    <w:rsid w:val="00BB5B36"/>
    <w:rsid w:val="00BC027B"/>
    <w:rsid w:val="00BC30A6"/>
    <w:rsid w:val="00BC37AF"/>
    <w:rsid w:val="00BC3928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0A8D"/>
    <w:rsid w:val="00BD0C73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5F2"/>
    <w:rsid w:val="00C2766F"/>
    <w:rsid w:val="00C3223B"/>
    <w:rsid w:val="00C333C6"/>
    <w:rsid w:val="00C35CC5"/>
    <w:rsid w:val="00C361C5"/>
    <w:rsid w:val="00C377D1"/>
    <w:rsid w:val="00C37BDA"/>
    <w:rsid w:val="00C37C84"/>
    <w:rsid w:val="00C407A0"/>
    <w:rsid w:val="00C42B41"/>
    <w:rsid w:val="00C46166"/>
    <w:rsid w:val="00C46BC2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BD6"/>
    <w:rsid w:val="00C8636F"/>
    <w:rsid w:val="00C9047F"/>
    <w:rsid w:val="00C91F65"/>
    <w:rsid w:val="00C92310"/>
    <w:rsid w:val="00C95150"/>
    <w:rsid w:val="00C95A73"/>
    <w:rsid w:val="00C97887"/>
    <w:rsid w:val="00CA02B0"/>
    <w:rsid w:val="00CA032E"/>
    <w:rsid w:val="00CA2182"/>
    <w:rsid w:val="00CA2186"/>
    <w:rsid w:val="00CA26EF"/>
    <w:rsid w:val="00CA3608"/>
    <w:rsid w:val="00CA4075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BD0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4298"/>
    <w:rsid w:val="00CF0BA8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C06"/>
    <w:rsid w:val="00D22160"/>
    <w:rsid w:val="00D22172"/>
    <w:rsid w:val="00D22B0E"/>
    <w:rsid w:val="00D2301B"/>
    <w:rsid w:val="00D239EE"/>
    <w:rsid w:val="00D30534"/>
    <w:rsid w:val="00D3086C"/>
    <w:rsid w:val="00D34DF4"/>
    <w:rsid w:val="00D35728"/>
    <w:rsid w:val="00D359A7"/>
    <w:rsid w:val="00D37BCF"/>
    <w:rsid w:val="00D40F93"/>
    <w:rsid w:val="00D42277"/>
    <w:rsid w:val="00D43C59"/>
    <w:rsid w:val="00D44ADE"/>
    <w:rsid w:val="00D50D65"/>
    <w:rsid w:val="00D50E9E"/>
    <w:rsid w:val="00D512E0"/>
    <w:rsid w:val="00D519F3"/>
    <w:rsid w:val="00D51D2A"/>
    <w:rsid w:val="00D53B7C"/>
    <w:rsid w:val="00D55783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5BCC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335"/>
    <w:rsid w:val="00DB311F"/>
    <w:rsid w:val="00DB53C6"/>
    <w:rsid w:val="00DB59E3"/>
    <w:rsid w:val="00DB6CB6"/>
    <w:rsid w:val="00DB758F"/>
    <w:rsid w:val="00DC1F1B"/>
    <w:rsid w:val="00DC3D8F"/>
    <w:rsid w:val="00DC42E8"/>
    <w:rsid w:val="00DC53D6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4E67"/>
    <w:rsid w:val="00E05FB7"/>
    <w:rsid w:val="00E066E6"/>
    <w:rsid w:val="00E06807"/>
    <w:rsid w:val="00E06C5E"/>
    <w:rsid w:val="00E0752B"/>
    <w:rsid w:val="00E1228E"/>
    <w:rsid w:val="00E13374"/>
    <w:rsid w:val="00E13B60"/>
    <w:rsid w:val="00E14079"/>
    <w:rsid w:val="00E15F90"/>
    <w:rsid w:val="00E16D3E"/>
    <w:rsid w:val="00E17167"/>
    <w:rsid w:val="00E20520"/>
    <w:rsid w:val="00E21D55"/>
    <w:rsid w:val="00E21FDC"/>
    <w:rsid w:val="00E22604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CDD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F6F"/>
    <w:rsid w:val="00E667F3"/>
    <w:rsid w:val="00E67794"/>
    <w:rsid w:val="00E70CC6"/>
    <w:rsid w:val="00E71254"/>
    <w:rsid w:val="00E73CCD"/>
    <w:rsid w:val="00E76453"/>
    <w:rsid w:val="00E77353"/>
    <w:rsid w:val="00E775AE"/>
    <w:rsid w:val="00E80627"/>
    <w:rsid w:val="00E8272C"/>
    <w:rsid w:val="00E827C7"/>
    <w:rsid w:val="00E83154"/>
    <w:rsid w:val="00E85DBD"/>
    <w:rsid w:val="00E87A99"/>
    <w:rsid w:val="00E90702"/>
    <w:rsid w:val="00E9241E"/>
    <w:rsid w:val="00E93DEF"/>
    <w:rsid w:val="00E947B1"/>
    <w:rsid w:val="00E96852"/>
    <w:rsid w:val="00EA16AC"/>
    <w:rsid w:val="00EA1AFF"/>
    <w:rsid w:val="00EA385A"/>
    <w:rsid w:val="00EA3931"/>
    <w:rsid w:val="00EA3963"/>
    <w:rsid w:val="00EA658E"/>
    <w:rsid w:val="00EA7006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8EA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ABD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6981"/>
    <w:rsid w:val="00F27573"/>
    <w:rsid w:val="00F307B6"/>
    <w:rsid w:val="00F30EB8"/>
    <w:rsid w:val="00F31876"/>
    <w:rsid w:val="00F31C67"/>
    <w:rsid w:val="00F352FC"/>
    <w:rsid w:val="00F36FE0"/>
    <w:rsid w:val="00F37EA8"/>
    <w:rsid w:val="00F400B6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333"/>
    <w:rsid w:val="00F724CB"/>
    <w:rsid w:val="00F733A4"/>
    <w:rsid w:val="00F7758F"/>
    <w:rsid w:val="00F81890"/>
    <w:rsid w:val="00F82811"/>
    <w:rsid w:val="00F84153"/>
    <w:rsid w:val="00F85661"/>
    <w:rsid w:val="00F96602"/>
    <w:rsid w:val="00F9735A"/>
    <w:rsid w:val="00FA32FC"/>
    <w:rsid w:val="00FA4572"/>
    <w:rsid w:val="00FA59FD"/>
    <w:rsid w:val="00FA5D8C"/>
    <w:rsid w:val="00FA6403"/>
    <w:rsid w:val="00FB16CD"/>
    <w:rsid w:val="00FB73AE"/>
    <w:rsid w:val="00FC07E9"/>
    <w:rsid w:val="00FC5388"/>
    <w:rsid w:val="00FC726C"/>
    <w:rsid w:val="00FD1B4B"/>
    <w:rsid w:val="00FD1B94"/>
    <w:rsid w:val="00FD2041"/>
    <w:rsid w:val="00FE19C5"/>
    <w:rsid w:val="00FE4286"/>
    <w:rsid w:val="00FE48C3"/>
    <w:rsid w:val="00FE5909"/>
    <w:rsid w:val="00FE652E"/>
    <w:rsid w:val="00FE719C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C20D21-1057-4A8B-9AEB-9E99FD73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04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04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04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0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0452"/>
    <w:rPr>
      <w:b/>
      <w:bCs/>
    </w:rPr>
  </w:style>
  <w:style w:type="paragraph" w:styleId="Revision">
    <w:name w:val="Revision"/>
    <w:hidden/>
    <w:uiPriority w:val="99"/>
    <w:semiHidden/>
    <w:rsid w:val="00A96F56"/>
    <w:rPr>
      <w:sz w:val="24"/>
      <w:szCs w:val="24"/>
    </w:rPr>
  </w:style>
  <w:style w:type="character" w:styleId="Hyperlink">
    <w:name w:val="Hyperlink"/>
    <w:basedOn w:val="DefaultParagraphFont"/>
    <w:unhideWhenUsed/>
    <w:rsid w:val="007931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1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C5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7541</Characters>
  <Application>Microsoft Office Word</Application>
  <DocSecurity>4</DocSecurity>
  <Lines>152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SB01001 (Committee Report (Substituted))</vt:lpstr>
    </vt:vector>
  </TitlesOfParts>
  <Company>State of Texas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26298</dc:subject>
  <dc:creator>State of Texas</dc:creator>
  <dc:description>SB 1001 by Schwertner-(H)Licensing &amp; Administrative Procedures (Substitute Document Number: 88R 23001)</dc:description>
  <cp:lastModifiedBy>Stacey Nicchio</cp:lastModifiedBy>
  <cp:revision>2</cp:revision>
  <cp:lastPrinted>2003-11-26T17:21:00Z</cp:lastPrinted>
  <dcterms:created xsi:type="dcterms:W3CDTF">2023-04-28T21:21:00Z</dcterms:created>
  <dcterms:modified xsi:type="dcterms:W3CDTF">2023-04-28T21:21:00Z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23.117.2036</vt:lpwstr>
  </property>
</Properties>
</file>