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F826FB" w14:paraId="6A021D33" w14:textId="77777777" w:rsidTr="00345119">
        <w:tc>
          <w:tcPr>
            <w:tcW w:w="9576" w:type="dxa"/>
            <w:noWrap/>
          </w:tcPr>
          <w:p w14:paraId="16CDA365" w14:textId="77777777" w:rsidR="008423E4" w:rsidRPr="0022177D" w:rsidRDefault="009856D7" w:rsidP="00A47C0A">
            <w:pPr>
              <w:pStyle w:val="Heading1"/>
            </w:pPr>
            <w:r w:rsidRPr="00631897">
              <w:t>BILL ANALYSIS</w:t>
            </w:r>
          </w:p>
        </w:tc>
      </w:tr>
    </w:tbl>
    <w:p w14:paraId="6E27209D" w14:textId="77777777" w:rsidR="008423E4" w:rsidRPr="001824C9" w:rsidRDefault="008423E4" w:rsidP="00A47C0A">
      <w:pPr>
        <w:jc w:val="center"/>
        <w:rPr>
          <w:sz w:val="22"/>
          <w:szCs w:val="22"/>
        </w:rPr>
      </w:pPr>
    </w:p>
    <w:p w14:paraId="6E1B273C" w14:textId="77777777" w:rsidR="008423E4" w:rsidRPr="001824C9" w:rsidRDefault="008423E4" w:rsidP="00A47C0A">
      <w:pPr>
        <w:rPr>
          <w:sz w:val="22"/>
          <w:szCs w:val="22"/>
        </w:rPr>
      </w:pPr>
    </w:p>
    <w:p w14:paraId="22BD20E9" w14:textId="77777777" w:rsidR="008423E4" w:rsidRPr="00C76B7D" w:rsidRDefault="008423E4" w:rsidP="00A47C0A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826FB" w14:paraId="54ECF18D" w14:textId="77777777" w:rsidTr="00345119">
        <w:tc>
          <w:tcPr>
            <w:tcW w:w="9576" w:type="dxa"/>
          </w:tcPr>
          <w:p w14:paraId="4CA444B7" w14:textId="656D91EA" w:rsidR="008423E4" w:rsidRPr="00861995" w:rsidRDefault="009856D7" w:rsidP="00A47C0A">
            <w:pPr>
              <w:jc w:val="right"/>
            </w:pPr>
            <w:r>
              <w:t>S.B. 1003</w:t>
            </w:r>
          </w:p>
        </w:tc>
      </w:tr>
      <w:tr w:rsidR="00F826FB" w14:paraId="6FB33C0C" w14:textId="77777777" w:rsidTr="00345119">
        <w:tc>
          <w:tcPr>
            <w:tcW w:w="9576" w:type="dxa"/>
          </w:tcPr>
          <w:p w14:paraId="20FB9C98" w14:textId="06F73A9A" w:rsidR="008423E4" w:rsidRPr="00861995" w:rsidRDefault="009856D7" w:rsidP="00A47C0A">
            <w:pPr>
              <w:jc w:val="right"/>
            </w:pPr>
            <w:r>
              <w:t xml:space="preserve">By: </w:t>
            </w:r>
            <w:r w:rsidR="00FF11C1">
              <w:t>Johnson</w:t>
            </w:r>
          </w:p>
        </w:tc>
      </w:tr>
      <w:tr w:rsidR="00F826FB" w14:paraId="6A413B8B" w14:textId="77777777" w:rsidTr="00345119">
        <w:tc>
          <w:tcPr>
            <w:tcW w:w="9576" w:type="dxa"/>
          </w:tcPr>
          <w:p w14:paraId="4A13877A" w14:textId="33354FBC" w:rsidR="008423E4" w:rsidRPr="00861995" w:rsidRDefault="009856D7" w:rsidP="00A47C0A">
            <w:pPr>
              <w:jc w:val="right"/>
            </w:pPr>
            <w:r>
              <w:t>Insurance</w:t>
            </w:r>
          </w:p>
        </w:tc>
      </w:tr>
      <w:tr w:rsidR="00F826FB" w14:paraId="14BEB213" w14:textId="77777777" w:rsidTr="00345119">
        <w:tc>
          <w:tcPr>
            <w:tcW w:w="9576" w:type="dxa"/>
          </w:tcPr>
          <w:p w14:paraId="639636BC" w14:textId="40D1FE16" w:rsidR="008423E4" w:rsidRDefault="009856D7" w:rsidP="00A47C0A">
            <w:pPr>
              <w:jc w:val="right"/>
            </w:pPr>
            <w:r>
              <w:t>Committee Report (Unamended)</w:t>
            </w:r>
          </w:p>
        </w:tc>
      </w:tr>
    </w:tbl>
    <w:p w14:paraId="72C24C54" w14:textId="77777777" w:rsidR="008423E4" w:rsidRPr="00C76B7D" w:rsidRDefault="008423E4" w:rsidP="00A47C0A">
      <w:pPr>
        <w:tabs>
          <w:tab w:val="right" w:pos="9360"/>
        </w:tabs>
      </w:pPr>
    </w:p>
    <w:p w14:paraId="22F73305" w14:textId="77777777" w:rsidR="008423E4" w:rsidRPr="00C76B7D" w:rsidRDefault="008423E4" w:rsidP="00A47C0A"/>
    <w:p w14:paraId="006D0E14" w14:textId="77777777" w:rsidR="008423E4" w:rsidRPr="00C76B7D" w:rsidRDefault="008423E4" w:rsidP="00A47C0A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F826FB" w14:paraId="621FDCCA" w14:textId="77777777" w:rsidTr="00345119">
        <w:tc>
          <w:tcPr>
            <w:tcW w:w="9576" w:type="dxa"/>
          </w:tcPr>
          <w:p w14:paraId="72C1BEC6" w14:textId="77777777" w:rsidR="008423E4" w:rsidRPr="00A8133F" w:rsidRDefault="009856D7" w:rsidP="00A47C0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DC0A3E6" w14:textId="77777777" w:rsidR="008423E4" w:rsidRPr="00C76B7D" w:rsidRDefault="008423E4" w:rsidP="00A47C0A"/>
          <w:p w14:paraId="48B026BF" w14:textId="2CB6C04A" w:rsidR="00991022" w:rsidRDefault="009856D7" w:rsidP="00A47C0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In 2019, the </w:t>
            </w:r>
            <w:r w:rsidR="00AF3375">
              <w:t xml:space="preserve">86th </w:t>
            </w:r>
            <w:r>
              <w:t xml:space="preserve">Legislature expanded provider directory requirements </w:t>
            </w:r>
            <w:r w:rsidR="00D516EE">
              <w:t>for certain health benefit plan issuers that</w:t>
            </w:r>
            <w:r>
              <w:t xml:space="preserve"> allow</w:t>
            </w:r>
            <w:r w:rsidR="00D516EE">
              <w:t>ed</w:t>
            </w:r>
            <w:r>
              <w:t xml:space="preserve"> consumers to search for </w:t>
            </w:r>
            <w:r w:rsidR="00D516EE">
              <w:t xml:space="preserve">health care providers </w:t>
            </w:r>
            <w:r>
              <w:t>who practice at facilities</w:t>
            </w:r>
            <w:r w:rsidR="00D516EE">
              <w:t xml:space="preserve"> that are in their plan issuer's network</w:t>
            </w:r>
            <w:r>
              <w:t xml:space="preserve">. </w:t>
            </w:r>
            <w:r w:rsidR="00D516EE">
              <w:t>These d</w:t>
            </w:r>
            <w:r>
              <w:t>irectories must list</w:t>
            </w:r>
            <w:r w:rsidR="00AF3375">
              <w:t xml:space="preserve"> certain</w:t>
            </w:r>
            <w:r>
              <w:t xml:space="preserve"> </w:t>
            </w:r>
            <w:r w:rsidR="0048488F">
              <w:t xml:space="preserve">information for </w:t>
            </w:r>
            <w:r>
              <w:t>specified types of facility-based physicians</w:t>
            </w:r>
            <w:r w:rsidR="00D516EE">
              <w:t>, but current law omits certain other facility-based specialists</w:t>
            </w:r>
            <w:r>
              <w:t xml:space="preserve">. </w:t>
            </w:r>
            <w:r w:rsidR="0048488F">
              <w:t>I</w:t>
            </w:r>
            <w:r>
              <w:t>nclud</w:t>
            </w:r>
            <w:r w:rsidR="0048488F">
              <w:t>ing</w:t>
            </w:r>
            <w:r>
              <w:t xml:space="preserve"> other types of facility-based physicians and providers</w:t>
            </w:r>
            <w:r w:rsidR="0048488F">
              <w:t xml:space="preserve"> in the directory requirements</w:t>
            </w:r>
            <w:r>
              <w:t xml:space="preserve"> will help consumers plan their care, avoid accidentally using out-of-network providers, and maximize their in-network benefits. </w:t>
            </w:r>
            <w:r w:rsidR="0048488F">
              <w:t>Such a change will</w:t>
            </w:r>
            <w:r>
              <w:t xml:space="preserve"> also provide a more comprehensive picture of health plan provider networks, which would help </w:t>
            </w:r>
            <w:r w:rsidR="0048488F">
              <w:t xml:space="preserve">the Texas Department of Insurance </w:t>
            </w:r>
            <w:r>
              <w:t xml:space="preserve">regulate these networks </w:t>
            </w:r>
            <w:r w:rsidR="00AB273C">
              <w:t xml:space="preserve">more </w:t>
            </w:r>
            <w:r>
              <w:t>effectively.</w:t>
            </w:r>
            <w:r w:rsidR="0048488F">
              <w:t xml:space="preserve"> </w:t>
            </w:r>
            <w:r w:rsidR="00287ACD">
              <w:t>S.B. 1003</w:t>
            </w:r>
            <w:r>
              <w:t xml:space="preserve"> </w:t>
            </w:r>
            <w:r w:rsidR="0048488F">
              <w:t>seeks to address this issue by expanding the types of</w:t>
            </w:r>
            <w:r>
              <w:t xml:space="preserve"> facility-based p</w:t>
            </w:r>
            <w:r>
              <w:t xml:space="preserve">roviders </w:t>
            </w:r>
            <w:r w:rsidR="0048488F">
              <w:t xml:space="preserve">a health benefit plan issuer </w:t>
            </w:r>
            <w:r w:rsidR="00AF3375">
              <w:t>must include in its provider directory</w:t>
            </w:r>
            <w:r>
              <w:t>.</w:t>
            </w:r>
          </w:p>
          <w:p w14:paraId="207C784D" w14:textId="77777777" w:rsidR="008423E4" w:rsidRPr="00C76B7D" w:rsidRDefault="008423E4" w:rsidP="00A47C0A">
            <w:pPr>
              <w:rPr>
                <w:b/>
              </w:rPr>
            </w:pPr>
          </w:p>
        </w:tc>
      </w:tr>
      <w:tr w:rsidR="00F826FB" w14:paraId="022B0B32" w14:textId="77777777" w:rsidTr="00345119">
        <w:tc>
          <w:tcPr>
            <w:tcW w:w="9576" w:type="dxa"/>
          </w:tcPr>
          <w:p w14:paraId="7B6621C6" w14:textId="77777777" w:rsidR="0017725B" w:rsidRDefault="009856D7" w:rsidP="00A47C0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82A9474" w14:textId="77777777" w:rsidR="0017725B" w:rsidRPr="00C76B7D" w:rsidRDefault="0017725B" w:rsidP="00A47C0A">
            <w:pPr>
              <w:rPr>
                <w:b/>
                <w:u w:val="single"/>
              </w:rPr>
            </w:pPr>
          </w:p>
          <w:p w14:paraId="6BD925CD" w14:textId="048C1C31" w:rsidR="008D2F6E" w:rsidRPr="008D2F6E" w:rsidRDefault="009856D7" w:rsidP="00A47C0A">
            <w:pPr>
              <w:jc w:val="both"/>
            </w:pPr>
            <w:r>
              <w:t xml:space="preserve">It is the committee's opinion that this bill does not expressly create a criminal offense, increase the punishment for an existing criminal </w:t>
            </w:r>
            <w:r>
              <w:t>offense or category of offenses, or change the eligibility of a person for community supervision, parole, or mandatory supervision.</w:t>
            </w:r>
          </w:p>
          <w:p w14:paraId="44A8289E" w14:textId="77777777" w:rsidR="0017725B" w:rsidRPr="00C76B7D" w:rsidRDefault="0017725B" w:rsidP="00A47C0A">
            <w:pPr>
              <w:rPr>
                <w:b/>
                <w:u w:val="single"/>
              </w:rPr>
            </w:pPr>
          </w:p>
        </w:tc>
      </w:tr>
      <w:tr w:rsidR="00F826FB" w14:paraId="4FBEBBF6" w14:textId="77777777" w:rsidTr="00345119">
        <w:tc>
          <w:tcPr>
            <w:tcW w:w="9576" w:type="dxa"/>
          </w:tcPr>
          <w:p w14:paraId="48592FD1" w14:textId="77777777" w:rsidR="008423E4" w:rsidRPr="00A8133F" w:rsidRDefault="009856D7" w:rsidP="00A47C0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08C36AD" w14:textId="77777777" w:rsidR="008423E4" w:rsidRPr="00C76B7D" w:rsidRDefault="008423E4" w:rsidP="00A47C0A"/>
          <w:p w14:paraId="53DA7B8D" w14:textId="403AEE87" w:rsidR="008D2F6E" w:rsidRDefault="009856D7" w:rsidP="00A47C0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the </w:t>
            </w:r>
            <w:r w:rsidRPr="00A15689">
              <w:t>commissioner of</w:t>
            </w:r>
            <w:r w:rsidRPr="00A15689">
              <w:t xml:space="preserve"> insurance</w:t>
            </w:r>
            <w:r>
              <w:t xml:space="preserve"> in SECTION 2 of this bill.</w:t>
            </w:r>
          </w:p>
          <w:p w14:paraId="144254DF" w14:textId="77777777" w:rsidR="008423E4" w:rsidRPr="00E21FDC" w:rsidRDefault="008423E4" w:rsidP="00A47C0A">
            <w:pPr>
              <w:rPr>
                <w:b/>
              </w:rPr>
            </w:pPr>
          </w:p>
        </w:tc>
      </w:tr>
      <w:tr w:rsidR="00F826FB" w14:paraId="05F30AFF" w14:textId="77777777" w:rsidTr="00345119">
        <w:tc>
          <w:tcPr>
            <w:tcW w:w="9576" w:type="dxa"/>
          </w:tcPr>
          <w:p w14:paraId="633DBB1C" w14:textId="77777777" w:rsidR="008423E4" w:rsidRPr="00A8133F" w:rsidRDefault="009856D7" w:rsidP="00A47C0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2400CD8" w14:textId="77777777" w:rsidR="008423E4" w:rsidRDefault="008423E4" w:rsidP="00A47C0A"/>
          <w:p w14:paraId="2974FCFE" w14:textId="4F010134" w:rsidR="00590509" w:rsidRDefault="009856D7" w:rsidP="00A47C0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1003</w:t>
            </w:r>
            <w:r w:rsidR="00A15689">
              <w:t xml:space="preserve"> amends the Insurance Code </w:t>
            </w:r>
            <w:r w:rsidR="00EA4942">
              <w:t xml:space="preserve">to </w:t>
            </w:r>
            <w:r w:rsidR="007B0CD4">
              <w:t xml:space="preserve">expand the </w:t>
            </w:r>
            <w:r w:rsidR="00EA4942">
              <w:t xml:space="preserve">types of health care providers </w:t>
            </w:r>
            <w:r w:rsidR="00FD1780">
              <w:t>for which</w:t>
            </w:r>
            <w:r w:rsidR="00EA4942">
              <w:t xml:space="preserve"> </w:t>
            </w:r>
            <w:r w:rsidR="00FD1780">
              <w:t>an applicable</w:t>
            </w:r>
            <w:r w:rsidR="00EA4942">
              <w:t xml:space="preserve"> health benefit plan issuer </w:t>
            </w:r>
            <w:r w:rsidR="00EA4942" w:rsidRPr="00EA4942">
              <w:t>offer</w:t>
            </w:r>
            <w:r w:rsidR="00C54ADA">
              <w:t>ing</w:t>
            </w:r>
            <w:r w:rsidR="00EA4942" w:rsidRPr="00EA4942">
              <w:t xml:space="preserve"> coverage for health care services through preferred providers, exclusive providers, or a network of physicians or health care providers</w:t>
            </w:r>
            <w:r w:rsidR="00EA4942">
              <w:t xml:space="preserve"> must include </w:t>
            </w:r>
            <w:r w:rsidR="00FD1780">
              <w:t xml:space="preserve">certain information </w:t>
            </w:r>
            <w:r w:rsidR="00EA4942">
              <w:t xml:space="preserve">in its </w:t>
            </w:r>
            <w:r w:rsidR="007B0CD4" w:rsidRPr="007B0CD4">
              <w:t>provider director</w:t>
            </w:r>
            <w:r w:rsidR="00EA4942">
              <w:t>y</w:t>
            </w:r>
            <w:r w:rsidR="007B0CD4">
              <w:t xml:space="preserve"> </w:t>
            </w:r>
            <w:r w:rsidR="0001153E">
              <w:t xml:space="preserve">by replacing references to a facility-based physician, defined as a </w:t>
            </w:r>
            <w:r w:rsidR="0069574F">
              <w:t xml:space="preserve">state-licensed </w:t>
            </w:r>
            <w:r w:rsidR="0001153E">
              <w:t>radiologist, anesthesiologist, pathologist, emergency department physician, neonatologist, or assistant surgeon to whom a facility has granted clinical privileges and who provides services to the facility's patients under those privileges with references to a facility-based physician or provider, which includes any state-licensed or otherwise authorized health care practitioner or other person</w:t>
            </w:r>
            <w:r w:rsidR="00C648D4">
              <w:t xml:space="preserve"> </w:t>
            </w:r>
            <w:r w:rsidR="00B5188C">
              <w:t>who is</w:t>
            </w:r>
            <w:r w:rsidR="0069574F">
              <w:t xml:space="preserve"> granted </w:t>
            </w:r>
            <w:r w:rsidR="00B5188C">
              <w:t>such</w:t>
            </w:r>
            <w:r w:rsidR="0069574F">
              <w:t xml:space="preserve"> privileges and</w:t>
            </w:r>
            <w:r w:rsidR="00C648D4">
              <w:t xml:space="preserve"> </w:t>
            </w:r>
            <w:r w:rsidR="0069574F">
              <w:t>provid</w:t>
            </w:r>
            <w:r w:rsidR="00B5188C">
              <w:t>es</w:t>
            </w:r>
            <w:r w:rsidR="004F7A62">
              <w:t xml:space="preserve"> </w:t>
            </w:r>
            <w:r w:rsidR="0001153E">
              <w:t>services</w:t>
            </w:r>
            <w:r w:rsidR="0069574F">
              <w:t xml:space="preserve"> to the facility's patients under those privileges</w:t>
            </w:r>
            <w:r w:rsidR="007B0CD4">
              <w:t>.</w:t>
            </w:r>
          </w:p>
          <w:p w14:paraId="770A4C8B" w14:textId="77777777" w:rsidR="00590509" w:rsidRDefault="00590509" w:rsidP="00A47C0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1D0D71C" w14:textId="749808EB" w:rsidR="00A15689" w:rsidRDefault="009856D7" w:rsidP="00A47C0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1003 include</w:t>
            </w:r>
            <w:r w:rsidR="00590509">
              <w:t>s</w:t>
            </w:r>
            <w:r>
              <w:t xml:space="preserve"> the following</w:t>
            </w:r>
            <w:r w:rsidR="00262A49">
              <w:t xml:space="preserve"> specialty professions among the professions </w:t>
            </w:r>
            <w:r w:rsidR="003178FD">
              <w:t>that</w:t>
            </w:r>
            <w:r w:rsidR="00F84E5C">
              <w:t xml:space="preserve"> the</w:t>
            </w:r>
            <w:r w:rsidR="00262A49">
              <w:t xml:space="preserve"> </w:t>
            </w:r>
            <w:r w:rsidR="00262A49" w:rsidRPr="00262A49">
              <w:t>directory</w:t>
            </w:r>
            <w:r w:rsidR="00590509">
              <w:t xml:space="preserve"> </w:t>
            </w:r>
            <w:r w:rsidR="00F84E5C">
              <w:t>must list in separate headings under the applicable provider</w:t>
            </w:r>
            <w:r w:rsidR="00590509" w:rsidRPr="00590509">
              <w:t xml:space="preserve"> facility</w:t>
            </w:r>
            <w:r w:rsidR="00F84E5C">
              <w:t xml:space="preserve"> name</w:t>
            </w:r>
            <w:r w:rsidR="00590509">
              <w:t>:</w:t>
            </w:r>
          </w:p>
          <w:p w14:paraId="6FF36ACB" w14:textId="7F13150C" w:rsidR="00A15689" w:rsidRDefault="009856D7" w:rsidP="00A47C0A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A15689">
              <w:t>nurse anesthetists</w:t>
            </w:r>
            <w:r w:rsidR="00590509">
              <w:t>;</w:t>
            </w:r>
          </w:p>
          <w:p w14:paraId="068EB1C4" w14:textId="773A4DA0" w:rsidR="00A15689" w:rsidRDefault="009856D7" w:rsidP="00A47C0A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A15689">
              <w:t>nurse midwi</w:t>
            </w:r>
            <w:r w:rsidRPr="00A15689">
              <w:t>ves</w:t>
            </w:r>
            <w:r w:rsidR="00590509">
              <w:t>;</w:t>
            </w:r>
          </w:p>
          <w:p w14:paraId="12C0DF2D" w14:textId="219AF2D3" w:rsidR="000E3CC8" w:rsidRDefault="009856D7" w:rsidP="00A47C0A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surgical assistants;</w:t>
            </w:r>
          </w:p>
          <w:p w14:paraId="460DC52B" w14:textId="45011D0A" w:rsidR="00A15689" w:rsidRDefault="009856D7" w:rsidP="00A47C0A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A15689">
              <w:t>physical therapists</w:t>
            </w:r>
            <w:r w:rsidR="00590509">
              <w:t>;</w:t>
            </w:r>
          </w:p>
          <w:p w14:paraId="72F99E41" w14:textId="715D076B" w:rsidR="00A15689" w:rsidRDefault="009856D7" w:rsidP="00A47C0A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A15689">
              <w:t>occupational therapists</w:t>
            </w:r>
            <w:r w:rsidR="00590509">
              <w:t>;</w:t>
            </w:r>
          </w:p>
          <w:p w14:paraId="55CF03BF" w14:textId="77777777" w:rsidR="00590509" w:rsidRDefault="009856D7" w:rsidP="00A47C0A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A15689">
              <w:t>speech-language pathologists</w:t>
            </w:r>
            <w:r>
              <w:t>; and</w:t>
            </w:r>
          </w:p>
          <w:p w14:paraId="7E3994FB" w14:textId="03CA6FC1" w:rsidR="009C36CD" w:rsidRDefault="009856D7" w:rsidP="00A47C0A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A15689">
              <w:t xml:space="preserve">any other specialty </w:t>
            </w:r>
            <w:r w:rsidR="008D2F6E">
              <w:t>that</w:t>
            </w:r>
            <w:r w:rsidRPr="00A15689">
              <w:t xml:space="preserve"> </w:t>
            </w:r>
            <w:r>
              <w:t xml:space="preserve">the </w:t>
            </w:r>
            <w:r w:rsidRPr="00A15689">
              <w:t>commissioner of insurance</w:t>
            </w:r>
            <w:r w:rsidR="008D2F6E">
              <w:t xml:space="preserve"> identifies by</w:t>
            </w:r>
            <w:r w:rsidRPr="00A15689">
              <w:t xml:space="preserve"> rule</w:t>
            </w:r>
            <w:r w:rsidR="00F84E5C">
              <w:t>.</w:t>
            </w:r>
          </w:p>
          <w:p w14:paraId="082E02C7" w14:textId="531FA940" w:rsidR="00287ACD" w:rsidRDefault="009856D7" w:rsidP="00A47C0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</w:t>
            </w:r>
            <w:r w:rsidR="00E94C7B">
              <w:t xml:space="preserve">removes assistant surgeons from the professions the directory must list in separate headings under the applicable provider facility name and </w:t>
            </w:r>
            <w:r>
              <w:t>establishes that the</w:t>
            </w:r>
            <w:r w:rsidRPr="00CE4DC8">
              <w:t xml:space="preserve"> directory is not required to list a physician or health care provider who is employed by the facility.</w:t>
            </w:r>
          </w:p>
          <w:p w14:paraId="38F71F0D" w14:textId="7B6F0EBC" w:rsidR="008D2F6E" w:rsidRDefault="008D2F6E" w:rsidP="00A47C0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E953A68" w14:textId="6EDD8C91" w:rsidR="008D2F6E" w:rsidRPr="009C36CD" w:rsidRDefault="009856D7" w:rsidP="00A47C0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1003 requires a </w:t>
            </w:r>
            <w:r w:rsidRPr="008D2F6E">
              <w:t xml:space="preserve">health benefit plan issuer </w:t>
            </w:r>
            <w:r>
              <w:t>to</w:t>
            </w:r>
            <w:r w:rsidRPr="008D2F6E">
              <w:t xml:space="preserve"> updat</w:t>
            </w:r>
            <w:r w:rsidRPr="008D2F6E">
              <w:t xml:space="preserve">e </w:t>
            </w:r>
            <w:r w:rsidR="00AC0BC1">
              <w:t>its</w:t>
            </w:r>
            <w:r w:rsidRPr="008D2F6E">
              <w:t xml:space="preserve"> physician and health care provider directory and website to conform </w:t>
            </w:r>
            <w:r>
              <w:t>with the bill</w:t>
            </w:r>
            <w:r w:rsidR="004C2E89">
              <w:t>'</w:t>
            </w:r>
            <w:r>
              <w:t>s provisions no</w:t>
            </w:r>
            <w:r w:rsidR="00AC0BC1">
              <w:t>t</w:t>
            </w:r>
            <w:r w:rsidRPr="008D2F6E">
              <w:t xml:space="preserve"> later than January 1, 2024.</w:t>
            </w:r>
          </w:p>
          <w:p w14:paraId="02154B36" w14:textId="77777777" w:rsidR="008423E4" w:rsidRPr="00835628" w:rsidRDefault="008423E4" w:rsidP="00A47C0A">
            <w:pPr>
              <w:rPr>
                <w:b/>
              </w:rPr>
            </w:pPr>
          </w:p>
        </w:tc>
      </w:tr>
      <w:tr w:rsidR="00F826FB" w14:paraId="2EA14CC4" w14:textId="77777777" w:rsidTr="00345119">
        <w:tc>
          <w:tcPr>
            <w:tcW w:w="9576" w:type="dxa"/>
          </w:tcPr>
          <w:p w14:paraId="57F98AD7" w14:textId="77777777" w:rsidR="008423E4" w:rsidRPr="00A8133F" w:rsidRDefault="009856D7" w:rsidP="00A47C0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B503F67" w14:textId="77777777" w:rsidR="008423E4" w:rsidRDefault="008423E4" w:rsidP="00A47C0A"/>
          <w:p w14:paraId="709D0CC9" w14:textId="236447A8" w:rsidR="008423E4" w:rsidRPr="003624F2" w:rsidRDefault="009856D7" w:rsidP="00A47C0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540067F7" w14:textId="77777777" w:rsidR="008423E4" w:rsidRPr="00233FDB" w:rsidRDefault="008423E4" w:rsidP="00A47C0A">
            <w:pPr>
              <w:rPr>
                <w:b/>
              </w:rPr>
            </w:pPr>
          </w:p>
        </w:tc>
      </w:tr>
    </w:tbl>
    <w:p w14:paraId="7D0AD377" w14:textId="77777777" w:rsidR="008423E4" w:rsidRPr="00BE0E75" w:rsidRDefault="008423E4" w:rsidP="00A47C0A">
      <w:pPr>
        <w:jc w:val="both"/>
        <w:rPr>
          <w:rFonts w:ascii="Arial" w:hAnsi="Arial"/>
          <w:sz w:val="16"/>
          <w:szCs w:val="16"/>
        </w:rPr>
      </w:pPr>
    </w:p>
    <w:p w14:paraId="235F7B63" w14:textId="77777777" w:rsidR="004108C3" w:rsidRPr="008423E4" w:rsidRDefault="004108C3" w:rsidP="00A47C0A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32616" w14:textId="77777777" w:rsidR="00000000" w:rsidRDefault="009856D7">
      <w:r>
        <w:separator/>
      </w:r>
    </w:p>
  </w:endnote>
  <w:endnote w:type="continuationSeparator" w:id="0">
    <w:p w14:paraId="7FAB781A" w14:textId="77777777" w:rsidR="00000000" w:rsidRDefault="0098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17825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826FB" w14:paraId="32687E93" w14:textId="77777777" w:rsidTr="009C1E9A">
      <w:trPr>
        <w:cantSplit/>
      </w:trPr>
      <w:tc>
        <w:tcPr>
          <w:tcW w:w="0" w:type="pct"/>
        </w:tcPr>
        <w:p w14:paraId="3551066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06E9BB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E58AB9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ABAF60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17E394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826FB" w14:paraId="46CDC73D" w14:textId="77777777" w:rsidTr="009C1E9A">
      <w:trPr>
        <w:cantSplit/>
      </w:trPr>
      <w:tc>
        <w:tcPr>
          <w:tcW w:w="0" w:type="pct"/>
        </w:tcPr>
        <w:p w14:paraId="6DCC8F7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BA82041" w14:textId="254F7807" w:rsidR="00EC379B" w:rsidRPr="009C1E9A" w:rsidRDefault="009856D7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25026-D</w:t>
          </w:r>
        </w:p>
      </w:tc>
      <w:tc>
        <w:tcPr>
          <w:tcW w:w="2453" w:type="pct"/>
        </w:tcPr>
        <w:p w14:paraId="5BEA4E61" w14:textId="1E85056C" w:rsidR="00EC379B" w:rsidRDefault="009856D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76E69">
            <w:t>23.111.2128</w:t>
          </w:r>
          <w:r>
            <w:fldChar w:fldCharType="end"/>
          </w:r>
        </w:p>
      </w:tc>
    </w:tr>
    <w:tr w:rsidR="00F826FB" w14:paraId="50D261D6" w14:textId="77777777" w:rsidTr="009C1E9A">
      <w:trPr>
        <w:cantSplit/>
      </w:trPr>
      <w:tc>
        <w:tcPr>
          <w:tcW w:w="0" w:type="pct"/>
        </w:tcPr>
        <w:p w14:paraId="5F614D7E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2E6CEEA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B9CAF5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4FE74C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826FB" w14:paraId="4A1EB1CB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2003864" w14:textId="77777777" w:rsidR="00EC379B" w:rsidRDefault="009856D7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D80328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697894C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50368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06FC6" w14:textId="77777777" w:rsidR="00000000" w:rsidRDefault="009856D7">
      <w:r>
        <w:separator/>
      </w:r>
    </w:p>
  </w:footnote>
  <w:footnote w:type="continuationSeparator" w:id="0">
    <w:p w14:paraId="5D3E145F" w14:textId="77777777" w:rsidR="00000000" w:rsidRDefault="00985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F9FC1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CD4A8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E1834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B5238"/>
    <w:multiLevelType w:val="hybridMultilevel"/>
    <w:tmpl w:val="E9FAC8BA"/>
    <w:lvl w:ilvl="0" w:tplc="E976D6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6870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CE02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304B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D4AB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0638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66B5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C272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02B3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536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A00"/>
    <w:rsid w:val="00000A70"/>
    <w:rsid w:val="000032B8"/>
    <w:rsid w:val="00003B06"/>
    <w:rsid w:val="000054B9"/>
    <w:rsid w:val="00007461"/>
    <w:rsid w:val="0001117E"/>
    <w:rsid w:val="0001125F"/>
    <w:rsid w:val="0001153E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0E5B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2DD8"/>
    <w:rsid w:val="000C49DA"/>
    <w:rsid w:val="000C4B3D"/>
    <w:rsid w:val="000C6DC1"/>
    <w:rsid w:val="000C6E20"/>
    <w:rsid w:val="000C76D7"/>
    <w:rsid w:val="000C7F1D"/>
    <w:rsid w:val="000D2EBA"/>
    <w:rsid w:val="000D32A1"/>
    <w:rsid w:val="000D333D"/>
    <w:rsid w:val="000D3725"/>
    <w:rsid w:val="000D46E5"/>
    <w:rsid w:val="000D769C"/>
    <w:rsid w:val="000E1976"/>
    <w:rsid w:val="000E20F1"/>
    <w:rsid w:val="000E3CC8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4B46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C9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38B4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49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87ACD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0F8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06FD4"/>
    <w:rsid w:val="00313DFE"/>
    <w:rsid w:val="003143B2"/>
    <w:rsid w:val="00314821"/>
    <w:rsid w:val="0031483F"/>
    <w:rsid w:val="0031741B"/>
    <w:rsid w:val="003178FD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2E33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2F47"/>
    <w:rsid w:val="00363854"/>
    <w:rsid w:val="00364315"/>
    <w:rsid w:val="003643E2"/>
    <w:rsid w:val="00370155"/>
    <w:rsid w:val="003712D5"/>
    <w:rsid w:val="003747DF"/>
    <w:rsid w:val="00376E69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4AF7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8488F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2E89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4F7A62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0509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19D8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3286"/>
    <w:rsid w:val="005E4734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4C43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74F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3174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A00"/>
    <w:rsid w:val="00766E12"/>
    <w:rsid w:val="0077098E"/>
    <w:rsid w:val="00771287"/>
    <w:rsid w:val="0077149E"/>
    <w:rsid w:val="00777518"/>
    <w:rsid w:val="0077779E"/>
    <w:rsid w:val="00780FB6"/>
    <w:rsid w:val="00781349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0CD4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76ABE"/>
    <w:rsid w:val="00880528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5D46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2F6E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56D7"/>
    <w:rsid w:val="00986720"/>
    <w:rsid w:val="00987F00"/>
    <w:rsid w:val="00991022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097"/>
    <w:rsid w:val="00A07689"/>
    <w:rsid w:val="00A07906"/>
    <w:rsid w:val="00A10908"/>
    <w:rsid w:val="00A12330"/>
    <w:rsid w:val="00A1259F"/>
    <w:rsid w:val="00A1446F"/>
    <w:rsid w:val="00A151B5"/>
    <w:rsid w:val="00A15689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47C0A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862D2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73C"/>
    <w:rsid w:val="00AB2C05"/>
    <w:rsid w:val="00AB3536"/>
    <w:rsid w:val="00AB474B"/>
    <w:rsid w:val="00AB5CCC"/>
    <w:rsid w:val="00AB74E2"/>
    <w:rsid w:val="00AC0BC1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3375"/>
    <w:rsid w:val="00AF48B4"/>
    <w:rsid w:val="00AF4923"/>
    <w:rsid w:val="00AF7C74"/>
    <w:rsid w:val="00B000AF"/>
    <w:rsid w:val="00B04E79"/>
    <w:rsid w:val="00B0648F"/>
    <w:rsid w:val="00B07488"/>
    <w:rsid w:val="00B075A2"/>
    <w:rsid w:val="00B10DD2"/>
    <w:rsid w:val="00B115DC"/>
    <w:rsid w:val="00B11952"/>
    <w:rsid w:val="00B149AC"/>
    <w:rsid w:val="00B14BD2"/>
    <w:rsid w:val="00B1557F"/>
    <w:rsid w:val="00B16468"/>
    <w:rsid w:val="00B1668D"/>
    <w:rsid w:val="00B1746C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188C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1E65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D5F7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4ADA"/>
    <w:rsid w:val="00C57933"/>
    <w:rsid w:val="00C60206"/>
    <w:rsid w:val="00C615D4"/>
    <w:rsid w:val="00C61B5D"/>
    <w:rsid w:val="00C61C0E"/>
    <w:rsid w:val="00C61C64"/>
    <w:rsid w:val="00C61CDA"/>
    <w:rsid w:val="00C63685"/>
    <w:rsid w:val="00C648D4"/>
    <w:rsid w:val="00C666B8"/>
    <w:rsid w:val="00C72956"/>
    <w:rsid w:val="00C73045"/>
    <w:rsid w:val="00C73212"/>
    <w:rsid w:val="00C7354A"/>
    <w:rsid w:val="00C74379"/>
    <w:rsid w:val="00C74DD8"/>
    <w:rsid w:val="00C75C5E"/>
    <w:rsid w:val="00C7669F"/>
    <w:rsid w:val="00C76B7D"/>
    <w:rsid w:val="00C76DFF"/>
    <w:rsid w:val="00C80B8F"/>
    <w:rsid w:val="00C82743"/>
    <w:rsid w:val="00C834CE"/>
    <w:rsid w:val="00C85A5C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4DC8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6EE"/>
    <w:rsid w:val="00D519F3"/>
    <w:rsid w:val="00D51D2A"/>
    <w:rsid w:val="00D53B7C"/>
    <w:rsid w:val="00D55F52"/>
    <w:rsid w:val="00D56508"/>
    <w:rsid w:val="00D60A2D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48CF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4C7B"/>
    <w:rsid w:val="00E96852"/>
    <w:rsid w:val="00EA16AC"/>
    <w:rsid w:val="00EA385A"/>
    <w:rsid w:val="00EA3931"/>
    <w:rsid w:val="00EA4942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C578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37B5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2394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6FB"/>
    <w:rsid w:val="00F82811"/>
    <w:rsid w:val="00F84153"/>
    <w:rsid w:val="00F84E5C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6972"/>
    <w:rsid w:val="00FC726C"/>
    <w:rsid w:val="00FD1780"/>
    <w:rsid w:val="00FD1B4B"/>
    <w:rsid w:val="00FD1B94"/>
    <w:rsid w:val="00FE19C5"/>
    <w:rsid w:val="00FE4286"/>
    <w:rsid w:val="00FE48C3"/>
    <w:rsid w:val="00FE5909"/>
    <w:rsid w:val="00FE652E"/>
    <w:rsid w:val="00FE6E91"/>
    <w:rsid w:val="00FE71FE"/>
    <w:rsid w:val="00FF0A28"/>
    <w:rsid w:val="00FF0B8B"/>
    <w:rsid w:val="00FF0E93"/>
    <w:rsid w:val="00FF11C1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DBFC674-FFB4-432F-8D68-454150B0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B0CD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B0C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B0CD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B0C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B0CD4"/>
    <w:rPr>
      <w:b/>
      <w:bCs/>
    </w:rPr>
  </w:style>
  <w:style w:type="paragraph" w:styleId="Revision">
    <w:name w:val="Revision"/>
    <w:hidden/>
    <w:uiPriority w:val="99"/>
    <w:semiHidden/>
    <w:rsid w:val="00FC6972"/>
    <w:rPr>
      <w:sz w:val="24"/>
      <w:szCs w:val="24"/>
    </w:rPr>
  </w:style>
  <w:style w:type="character" w:styleId="Hyperlink">
    <w:name w:val="Hyperlink"/>
    <w:basedOn w:val="DefaultParagraphFont"/>
    <w:unhideWhenUsed/>
    <w:rsid w:val="00AF337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33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8805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2867</Characters>
  <Application>Microsoft Office Word</Application>
  <DocSecurity>4</DocSecurity>
  <Lines>70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SB01003 (Committee Report (Unamended))</vt:lpstr>
    </vt:vector>
  </TitlesOfParts>
  <Company>State of Texas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25026</dc:subject>
  <dc:creator>State of Texas</dc:creator>
  <dc:description>SB 1003 by Johnson-(H)Insurance</dc:description>
  <cp:lastModifiedBy>Stacey Nicchio</cp:lastModifiedBy>
  <cp:revision>2</cp:revision>
  <cp:lastPrinted>2003-11-26T17:21:00Z</cp:lastPrinted>
  <dcterms:created xsi:type="dcterms:W3CDTF">2023-04-24T15:38:00Z</dcterms:created>
  <dcterms:modified xsi:type="dcterms:W3CDTF">2023-04-24T15:38:00Z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23.111.2128</vt:lpwstr>
  </property>
</Properties>
</file>