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236" w:rsidRDefault="00A272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D099E0E3C749A08CBD353EEFAAD4D8"/>
          </w:placeholder>
        </w:sdtPr>
        <w:sdtContent>
          <w:r w:rsidRPr="005C2A78">
            <w:rPr>
              <w:rFonts w:cs="Times New Roman"/>
              <w:b/>
              <w:szCs w:val="24"/>
              <w:u w:val="single"/>
            </w:rPr>
            <w:t>BILL ANALYSIS</w:t>
          </w:r>
        </w:sdtContent>
      </w:sdt>
    </w:p>
    <w:p w:rsidR="00A27236" w:rsidRPr="00585C31" w:rsidRDefault="00A27236" w:rsidP="000F1DF9">
      <w:pPr>
        <w:spacing w:after="0" w:line="240" w:lineRule="auto"/>
        <w:rPr>
          <w:rFonts w:cs="Times New Roman"/>
          <w:szCs w:val="24"/>
        </w:rPr>
      </w:pPr>
    </w:p>
    <w:p w:rsidR="00A27236" w:rsidRPr="00585C31" w:rsidRDefault="00A272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7236" w:rsidTr="000F1DF9">
        <w:tc>
          <w:tcPr>
            <w:tcW w:w="2718" w:type="dxa"/>
          </w:tcPr>
          <w:p w:rsidR="00A27236" w:rsidRPr="005C2A78" w:rsidRDefault="00A27236" w:rsidP="006D756B">
            <w:pPr>
              <w:rPr>
                <w:rFonts w:cs="Times New Roman"/>
                <w:szCs w:val="24"/>
              </w:rPr>
            </w:pPr>
            <w:sdt>
              <w:sdtPr>
                <w:rPr>
                  <w:rFonts w:cs="Times New Roman"/>
                  <w:szCs w:val="24"/>
                </w:rPr>
                <w:alias w:val="Agency Title"/>
                <w:tag w:val="AgencyTitleContentControl"/>
                <w:id w:val="1920747753"/>
                <w:lock w:val="sdtContentLocked"/>
                <w:placeholder>
                  <w:docPart w:val="16B9AC68EC384157A0CB53F24796358B"/>
                </w:placeholder>
              </w:sdtPr>
              <w:sdtEndPr>
                <w:rPr>
                  <w:rFonts w:cstheme="minorBidi"/>
                  <w:szCs w:val="22"/>
                </w:rPr>
              </w:sdtEndPr>
              <w:sdtContent>
                <w:r>
                  <w:rPr>
                    <w:rFonts w:cs="Times New Roman"/>
                    <w:szCs w:val="24"/>
                  </w:rPr>
                  <w:t>Senate Research Center</w:t>
                </w:r>
              </w:sdtContent>
            </w:sdt>
          </w:p>
        </w:tc>
        <w:tc>
          <w:tcPr>
            <w:tcW w:w="6858" w:type="dxa"/>
          </w:tcPr>
          <w:p w:rsidR="00A27236" w:rsidRPr="00FF6471" w:rsidRDefault="00A27236" w:rsidP="000F1DF9">
            <w:pPr>
              <w:jc w:val="right"/>
              <w:rPr>
                <w:rFonts w:cs="Times New Roman"/>
                <w:szCs w:val="24"/>
              </w:rPr>
            </w:pPr>
            <w:sdt>
              <w:sdtPr>
                <w:rPr>
                  <w:rFonts w:cs="Times New Roman"/>
                  <w:szCs w:val="24"/>
                </w:rPr>
                <w:alias w:val="Bill Number"/>
                <w:tag w:val="BillNumberOne"/>
                <w:id w:val="-410784069"/>
                <w:lock w:val="sdtContentLocked"/>
                <w:placeholder>
                  <w:docPart w:val="C4642E73B0134336990B584E37F03756"/>
                </w:placeholder>
              </w:sdtPr>
              <w:sdtContent>
                <w:r>
                  <w:rPr>
                    <w:rFonts w:cs="Times New Roman"/>
                    <w:szCs w:val="24"/>
                  </w:rPr>
                  <w:t>S.B. 1015</w:t>
                </w:r>
              </w:sdtContent>
            </w:sdt>
          </w:p>
        </w:tc>
      </w:tr>
      <w:tr w:rsidR="00A27236" w:rsidTr="000F1DF9">
        <w:sdt>
          <w:sdtPr>
            <w:rPr>
              <w:rFonts w:cs="Times New Roman"/>
              <w:szCs w:val="24"/>
            </w:rPr>
            <w:alias w:val="TLCNumber"/>
            <w:tag w:val="TLCNumber"/>
            <w:id w:val="-542600604"/>
            <w:lock w:val="sdtLocked"/>
            <w:placeholder>
              <w:docPart w:val="A49B7E5D5E374CEA9629524ED58170B7"/>
            </w:placeholder>
            <w:showingPlcHdr/>
          </w:sdtPr>
          <w:sdtContent>
            <w:tc>
              <w:tcPr>
                <w:tcW w:w="2718" w:type="dxa"/>
              </w:tcPr>
              <w:p w:rsidR="00A27236" w:rsidRPr="000F1DF9" w:rsidRDefault="00A27236" w:rsidP="00C65088">
                <w:pPr>
                  <w:rPr>
                    <w:rFonts w:cs="Times New Roman"/>
                    <w:szCs w:val="24"/>
                  </w:rPr>
                </w:pPr>
              </w:p>
            </w:tc>
          </w:sdtContent>
        </w:sdt>
        <w:tc>
          <w:tcPr>
            <w:tcW w:w="6858" w:type="dxa"/>
          </w:tcPr>
          <w:p w:rsidR="00A27236" w:rsidRPr="005C2A78" w:rsidRDefault="00A27236" w:rsidP="00073EDD">
            <w:pPr>
              <w:jc w:val="right"/>
              <w:rPr>
                <w:rFonts w:cs="Times New Roman"/>
                <w:szCs w:val="24"/>
              </w:rPr>
            </w:pPr>
            <w:sdt>
              <w:sdtPr>
                <w:rPr>
                  <w:rFonts w:cs="Times New Roman"/>
                  <w:szCs w:val="24"/>
                </w:rPr>
                <w:alias w:val="Author Label"/>
                <w:tag w:val="By"/>
                <w:id w:val="72399597"/>
                <w:lock w:val="sdtLocked"/>
                <w:placeholder>
                  <w:docPart w:val="FF5A1C7E8A7943A798F171F24D4E13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3860DFA0E8433EBBCF42879C65F081"/>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990787F47ED74981ABD8C3C8E6ECAA0D"/>
                </w:placeholder>
                <w:showingPlcHdr/>
              </w:sdtPr>
              <w:sdtContent/>
            </w:sdt>
            <w:sdt>
              <w:sdtPr>
                <w:rPr>
                  <w:rFonts w:cs="Times New Roman"/>
                  <w:szCs w:val="24"/>
                </w:rPr>
                <w:alias w:val="DualSponsor"/>
                <w:tag w:val="DualSponsor"/>
                <w:id w:val="1029379812"/>
                <w:lock w:val="sdtContentLocked"/>
                <w:placeholder>
                  <w:docPart w:val="440A811D3D024CCA84F8928EA44FCD31"/>
                </w:placeholder>
                <w:showingPlcHdr/>
              </w:sdtPr>
              <w:sdtContent/>
            </w:sdt>
          </w:p>
        </w:tc>
      </w:tr>
      <w:tr w:rsidR="00A27236" w:rsidTr="000F1DF9">
        <w:tc>
          <w:tcPr>
            <w:tcW w:w="2718" w:type="dxa"/>
          </w:tcPr>
          <w:p w:rsidR="00A27236" w:rsidRPr="00BC7495" w:rsidRDefault="00A27236" w:rsidP="000F1DF9">
            <w:pPr>
              <w:rPr>
                <w:rFonts w:cs="Times New Roman"/>
                <w:szCs w:val="24"/>
              </w:rPr>
            </w:pPr>
          </w:p>
        </w:tc>
        <w:sdt>
          <w:sdtPr>
            <w:rPr>
              <w:rFonts w:cs="Times New Roman"/>
              <w:szCs w:val="24"/>
            </w:rPr>
            <w:alias w:val="Committee"/>
            <w:tag w:val="Committee"/>
            <w:id w:val="1914272295"/>
            <w:lock w:val="sdtContentLocked"/>
            <w:placeholder>
              <w:docPart w:val="6A17DCCD2E6D4ED498ABDE66844A045A"/>
            </w:placeholder>
          </w:sdtPr>
          <w:sdtContent>
            <w:tc>
              <w:tcPr>
                <w:tcW w:w="6858" w:type="dxa"/>
              </w:tcPr>
              <w:p w:rsidR="00A27236" w:rsidRPr="00FF6471" w:rsidRDefault="00A27236" w:rsidP="000F1DF9">
                <w:pPr>
                  <w:jc w:val="right"/>
                  <w:rPr>
                    <w:rFonts w:cs="Times New Roman"/>
                    <w:szCs w:val="24"/>
                  </w:rPr>
                </w:pPr>
                <w:r>
                  <w:rPr>
                    <w:rFonts w:cs="Times New Roman"/>
                    <w:szCs w:val="24"/>
                  </w:rPr>
                  <w:t>Business &amp; Commerce</w:t>
                </w:r>
              </w:p>
            </w:tc>
          </w:sdtContent>
        </w:sdt>
      </w:tr>
      <w:tr w:rsidR="00A27236" w:rsidTr="000F1DF9">
        <w:tc>
          <w:tcPr>
            <w:tcW w:w="2718" w:type="dxa"/>
          </w:tcPr>
          <w:p w:rsidR="00A27236" w:rsidRPr="00BC7495" w:rsidRDefault="00A27236" w:rsidP="000F1DF9">
            <w:pPr>
              <w:rPr>
                <w:rFonts w:cs="Times New Roman"/>
                <w:szCs w:val="24"/>
              </w:rPr>
            </w:pPr>
          </w:p>
        </w:tc>
        <w:sdt>
          <w:sdtPr>
            <w:rPr>
              <w:rFonts w:cs="Times New Roman"/>
              <w:szCs w:val="24"/>
            </w:rPr>
            <w:alias w:val="Date"/>
            <w:tag w:val="DateContentControl"/>
            <w:id w:val="1178081906"/>
            <w:lock w:val="sdtLocked"/>
            <w:placeholder>
              <w:docPart w:val="00DD0B4EFCDE4741BCDD2580A75E309C"/>
            </w:placeholder>
            <w:date w:fullDate="2023-05-29T00:00:00Z">
              <w:dateFormat w:val="M/d/yyyy"/>
              <w:lid w:val="en-US"/>
              <w:storeMappedDataAs w:val="dateTime"/>
              <w:calendar w:val="gregorian"/>
            </w:date>
          </w:sdtPr>
          <w:sdtContent>
            <w:tc>
              <w:tcPr>
                <w:tcW w:w="6858" w:type="dxa"/>
              </w:tcPr>
              <w:p w:rsidR="00A27236" w:rsidRPr="00FF6471" w:rsidRDefault="00A27236" w:rsidP="000F1DF9">
                <w:pPr>
                  <w:jc w:val="right"/>
                  <w:rPr>
                    <w:rFonts w:cs="Times New Roman"/>
                    <w:szCs w:val="24"/>
                  </w:rPr>
                </w:pPr>
                <w:r>
                  <w:rPr>
                    <w:rFonts w:cs="Times New Roman"/>
                    <w:szCs w:val="24"/>
                  </w:rPr>
                  <w:t>5/29/2023</w:t>
                </w:r>
              </w:p>
            </w:tc>
          </w:sdtContent>
        </w:sdt>
      </w:tr>
      <w:tr w:rsidR="00A27236" w:rsidTr="000F1DF9">
        <w:tc>
          <w:tcPr>
            <w:tcW w:w="2718" w:type="dxa"/>
          </w:tcPr>
          <w:p w:rsidR="00A27236" w:rsidRPr="00BC7495" w:rsidRDefault="00A27236" w:rsidP="000F1DF9">
            <w:pPr>
              <w:rPr>
                <w:rFonts w:cs="Times New Roman"/>
                <w:szCs w:val="24"/>
              </w:rPr>
            </w:pPr>
          </w:p>
        </w:tc>
        <w:sdt>
          <w:sdtPr>
            <w:rPr>
              <w:rFonts w:cs="Times New Roman"/>
              <w:szCs w:val="24"/>
            </w:rPr>
            <w:alias w:val="BA Version"/>
            <w:tag w:val="BAVersion"/>
            <w:id w:val="-1685590809"/>
            <w:lock w:val="sdtContentLocked"/>
            <w:placeholder>
              <w:docPart w:val="6D301C15E40340C2984DED6E5F84C124"/>
            </w:placeholder>
          </w:sdtPr>
          <w:sdtContent>
            <w:tc>
              <w:tcPr>
                <w:tcW w:w="6858" w:type="dxa"/>
              </w:tcPr>
              <w:p w:rsidR="00A27236" w:rsidRPr="00FF6471" w:rsidRDefault="00A27236" w:rsidP="000F1DF9">
                <w:pPr>
                  <w:jc w:val="right"/>
                  <w:rPr>
                    <w:rFonts w:cs="Times New Roman"/>
                    <w:szCs w:val="24"/>
                  </w:rPr>
                </w:pPr>
                <w:r>
                  <w:rPr>
                    <w:rFonts w:cs="Times New Roman"/>
                    <w:szCs w:val="24"/>
                  </w:rPr>
                  <w:t>Enrolled</w:t>
                </w:r>
              </w:p>
            </w:tc>
          </w:sdtContent>
        </w:sdt>
      </w:tr>
    </w:tbl>
    <w:p w:rsidR="00A27236" w:rsidRPr="00FF6471" w:rsidRDefault="00A27236" w:rsidP="000F1DF9">
      <w:pPr>
        <w:spacing w:after="0" w:line="240" w:lineRule="auto"/>
        <w:rPr>
          <w:rFonts w:cs="Times New Roman"/>
          <w:szCs w:val="24"/>
        </w:rPr>
      </w:pPr>
    </w:p>
    <w:p w:rsidR="00A27236" w:rsidRPr="00FF6471" w:rsidRDefault="00A27236" w:rsidP="000F1DF9">
      <w:pPr>
        <w:spacing w:after="0" w:line="240" w:lineRule="auto"/>
        <w:rPr>
          <w:rFonts w:cs="Times New Roman"/>
          <w:szCs w:val="24"/>
        </w:rPr>
      </w:pPr>
    </w:p>
    <w:p w:rsidR="00A27236" w:rsidRPr="00FF6471" w:rsidRDefault="00A272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87CED35E1E469C875F6DE52AA232CF"/>
        </w:placeholder>
      </w:sdtPr>
      <w:sdtContent>
        <w:p w:rsidR="00A27236" w:rsidRDefault="00A272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51474F002CE4853BD9D6573058EB8BD"/>
        </w:placeholder>
      </w:sdtPr>
      <w:sdtContent>
        <w:p w:rsidR="00A27236" w:rsidRDefault="00A27236" w:rsidP="003044AE">
          <w:pPr>
            <w:pStyle w:val="NormalWeb"/>
            <w:spacing w:before="0" w:beforeAutospacing="0" w:after="0" w:afterAutospacing="0"/>
            <w:jc w:val="both"/>
            <w:divId w:val="1151486469"/>
            <w:rPr>
              <w:rFonts w:eastAsia="Times New Roman"/>
              <w:bCs/>
            </w:rPr>
          </w:pPr>
        </w:p>
        <w:p w:rsidR="00A27236" w:rsidRPr="003044AE" w:rsidRDefault="00A27236" w:rsidP="003044AE">
          <w:pPr>
            <w:pStyle w:val="NormalWeb"/>
            <w:spacing w:before="0" w:beforeAutospacing="0" w:after="0" w:afterAutospacing="0"/>
            <w:jc w:val="both"/>
            <w:divId w:val="1151486469"/>
          </w:pPr>
          <w:r w:rsidRPr="003044AE">
            <w:t>At the Public Utility Commission today there are two very different processes to review and approve the cost recovery of electric transmission and distribution capital projects, even though all projects are used to provide service to customers.  For transmission projects (which are at higher voltage), the process is efficient and has been in place for nearly two decades.  This process is called the Transmission Cost of Service, or TCOS, review.  Nobody is advocating that the TCOS review is not working.  For a TCOS review, the Public Utility Commission has an efficient 60-day administrative process to review new transmission projects and approve new rates to reflect those projects.  Electric utilities can use that process up to twice per year between full rate cases, including when a rate case is pending. </w:t>
          </w:r>
        </w:p>
        <w:p w:rsidR="00A27236" w:rsidRPr="003044AE" w:rsidRDefault="00A27236" w:rsidP="003044AE">
          <w:pPr>
            <w:pStyle w:val="NormalWeb"/>
            <w:spacing w:before="0" w:beforeAutospacing="0" w:after="0" w:afterAutospacing="0"/>
            <w:jc w:val="both"/>
            <w:divId w:val="1151486469"/>
          </w:pPr>
          <w:r w:rsidRPr="003044AE">
            <w:t> </w:t>
          </w:r>
        </w:p>
        <w:p w:rsidR="00A27236" w:rsidRPr="003044AE" w:rsidRDefault="00A27236" w:rsidP="003044AE">
          <w:pPr>
            <w:pStyle w:val="NormalWeb"/>
            <w:spacing w:before="0" w:beforeAutospacing="0" w:after="0" w:afterAutospacing="0"/>
            <w:jc w:val="both"/>
            <w:divId w:val="1151486469"/>
          </w:pPr>
          <w:r w:rsidRPr="003044AE">
            <w:t>For distribution projects, the process is more litigious, taking 145 days or more, and, unlike a TCOS review, can only be used once per year and not while a full rate case is pending.  This process is called the Distribution Cost Recovery Factor, or DCRF, review.  The DCRF review is a more recent addition to the Utilities Code, starting in 2011, and it is time for it to evolve to a more efficient, less litigious, way of handling the cost recovery for distribution projects. </w:t>
          </w:r>
        </w:p>
        <w:p w:rsidR="00A27236" w:rsidRPr="003044AE" w:rsidRDefault="00A27236" w:rsidP="003044AE">
          <w:pPr>
            <w:pStyle w:val="NormalWeb"/>
            <w:spacing w:before="0" w:beforeAutospacing="0" w:after="0" w:afterAutospacing="0"/>
            <w:jc w:val="both"/>
            <w:divId w:val="1151486469"/>
          </w:pPr>
          <w:r w:rsidRPr="003044AE">
            <w:t> </w:t>
          </w:r>
        </w:p>
        <w:p w:rsidR="00A27236" w:rsidRPr="003044AE" w:rsidRDefault="00A27236" w:rsidP="003044AE">
          <w:pPr>
            <w:pStyle w:val="NormalWeb"/>
            <w:spacing w:before="0" w:beforeAutospacing="0" w:after="0" w:afterAutospacing="0"/>
            <w:jc w:val="both"/>
            <w:divId w:val="1151486469"/>
          </w:pPr>
          <w:r w:rsidRPr="003044AE">
            <w:t>This bill makes the processes consistent for Public Utility Commission review and approval of capital projects between rate cases, whether they are transmission or distribution, and it incorporates the more efficient, less litigious process used by the Public Utility Commission today for a TCOS review.  As Texas continues to grow, our electric utilities are spending just as much or more of their capital on distribution projects as transmission projects.  There is no reason why the process at the Public Utility Commission for review of these projects should continue to be so different.       </w:t>
          </w:r>
        </w:p>
        <w:p w:rsidR="00A27236" w:rsidRPr="003044AE" w:rsidRDefault="00A27236" w:rsidP="003044AE">
          <w:pPr>
            <w:pStyle w:val="NormalWeb"/>
            <w:spacing w:before="0" w:beforeAutospacing="0" w:after="0" w:afterAutospacing="0"/>
            <w:jc w:val="both"/>
            <w:divId w:val="1151486469"/>
          </w:pPr>
          <w:r w:rsidRPr="003044AE">
            <w:t> </w:t>
          </w:r>
        </w:p>
        <w:p w:rsidR="00A27236" w:rsidRPr="003044AE" w:rsidRDefault="00A27236" w:rsidP="003044AE">
          <w:pPr>
            <w:pStyle w:val="NormalWeb"/>
            <w:spacing w:before="0" w:beforeAutospacing="0" w:after="0" w:afterAutospacing="0"/>
            <w:jc w:val="both"/>
            <w:divId w:val="1151486469"/>
          </w:pPr>
          <w:r w:rsidRPr="003044AE">
            <w:t>This bill does not change or reduce the Public Utility Commission's oversight of transmission or distribution projects in full rate cases, which happen every four years under current law.</w:t>
          </w:r>
        </w:p>
        <w:p w:rsidR="00A27236" w:rsidRPr="00D70925" w:rsidRDefault="00A27236" w:rsidP="003044AE">
          <w:pPr>
            <w:spacing w:after="0" w:line="240" w:lineRule="auto"/>
            <w:jc w:val="both"/>
            <w:rPr>
              <w:rFonts w:eastAsia="Times New Roman" w:cs="Times New Roman"/>
              <w:bCs/>
              <w:szCs w:val="24"/>
            </w:rPr>
          </w:pPr>
        </w:p>
      </w:sdtContent>
    </w:sdt>
    <w:p w:rsidR="00A27236" w:rsidRDefault="00A272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1015 </w:t>
      </w:r>
      <w:bookmarkStart w:id="1" w:name="AmendsCurrentLaw"/>
      <w:bookmarkEnd w:id="1"/>
      <w:r>
        <w:rPr>
          <w:rFonts w:cs="Times New Roman"/>
          <w:szCs w:val="24"/>
        </w:rPr>
        <w:t xml:space="preserve">amends current law </w:t>
      </w:r>
      <w:r w:rsidRPr="003044AE">
        <w:rPr>
          <w:rFonts w:cs="Times New Roman"/>
          <w:szCs w:val="24"/>
        </w:rPr>
        <w:t>relating to periodic rate adjustments by electric utilities.</w:t>
      </w:r>
    </w:p>
    <w:p w:rsidR="00A27236" w:rsidRPr="003044AE" w:rsidRDefault="00A27236" w:rsidP="000F1DF9">
      <w:pPr>
        <w:spacing w:after="0" w:line="240" w:lineRule="auto"/>
        <w:jc w:val="both"/>
        <w:rPr>
          <w:rFonts w:eastAsia="Times New Roman" w:cs="Times New Roman"/>
          <w:szCs w:val="24"/>
        </w:rPr>
      </w:pPr>
    </w:p>
    <w:p w:rsidR="00A27236" w:rsidRPr="005C2A78" w:rsidRDefault="00A272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75CD85A8634B1B88C78BBCBF168D9B"/>
          </w:placeholder>
        </w:sdtPr>
        <w:sdtContent>
          <w:r>
            <w:rPr>
              <w:rFonts w:eastAsia="Times New Roman" w:cs="Times New Roman"/>
              <w:b/>
              <w:szCs w:val="24"/>
              <w:u w:val="single"/>
            </w:rPr>
            <w:t>RULEMAKING AUTHORITY</w:t>
          </w:r>
        </w:sdtContent>
      </w:sdt>
    </w:p>
    <w:p w:rsidR="00A27236" w:rsidRPr="006529C4" w:rsidRDefault="00A27236" w:rsidP="00774EC7">
      <w:pPr>
        <w:spacing w:after="0" w:line="240" w:lineRule="auto"/>
        <w:jc w:val="both"/>
        <w:rPr>
          <w:rFonts w:cs="Times New Roman"/>
          <w:szCs w:val="24"/>
        </w:rPr>
      </w:pPr>
    </w:p>
    <w:p w:rsidR="00A27236" w:rsidRPr="006529C4" w:rsidRDefault="00A27236" w:rsidP="00774EC7">
      <w:pPr>
        <w:spacing w:after="0" w:line="240" w:lineRule="auto"/>
        <w:jc w:val="both"/>
        <w:rPr>
          <w:rFonts w:cs="Times New Roman"/>
          <w:szCs w:val="24"/>
        </w:rPr>
      </w:pPr>
      <w:r w:rsidRPr="003044AE">
        <w:rPr>
          <w:rFonts w:cs="Times New Roman"/>
          <w:szCs w:val="24"/>
        </w:rPr>
        <w:t>Rulemaking authority previously granted to the Public Utilit</w:t>
      </w:r>
      <w:r>
        <w:rPr>
          <w:rFonts w:cs="Times New Roman"/>
          <w:szCs w:val="24"/>
        </w:rPr>
        <w:t>y</w:t>
      </w:r>
      <w:r w:rsidRPr="003044AE">
        <w:rPr>
          <w:rFonts w:cs="Times New Roman"/>
          <w:szCs w:val="24"/>
        </w:rPr>
        <w:t xml:space="preserve"> Commission of Texas is modified in SECTION 1 (Section 36.210, Utilities Code) of this bill.</w:t>
      </w:r>
    </w:p>
    <w:p w:rsidR="00A27236" w:rsidRPr="006529C4" w:rsidRDefault="00A27236" w:rsidP="00774EC7">
      <w:pPr>
        <w:spacing w:after="0" w:line="240" w:lineRule="auto"/>
        <w:jc w:val="both"/>
        <w:rPr>
          <w:rFonts w:cs="Times New Roman"/>
          <w:szCs w:val="24"/>
        </w:rPr>
      </w:pPr>
    </w:p>
    <w:p w:rsidR="00A27236" w:rsidRPr="005C2A78" w:rsidRDefault="00A27236" w:rsidP="00A2723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793B94F8564A65B0DB3B2ACC04A919"/>
          </w:placeholder>
        </w:sdtPr>
        <w:sdtContent>
          <w:r>
            <w:rPr>
              <w:rFonts w:eastAsia="Times New Roman" w:cs="Times New Roman"/>
              <w:b/>
              <w:szCs w:val="24"/>
              <w:u w:val="single"/>
            </w:rPr>
            <w:t>SECTION BY SECTION ANALYSIS</w:t>
          </w:r>
        </w:sdtContent>
      </w:sdt>
    </w:p>
    <w:p w:rsidR="00A27236" w:rsidRPr="005C2A78" w:rsidRDefault="00A27236" w:rsidP="00A27236">
      <w:pPr>
        <w:spacing w:after="0" w:line="240" w:lineRule="auto"/>
        <w:jc w:val="both"/>
        <w:rPr>
          <w:rFonts w:eastAsia="Times New Roman" w:cs="Times New Roman"/>
          <w:szCs w:val="24"/>
        </w:rPr>
      </w:pPr>
    </w:p>
    <w:p w:rsidR="00A27236" w:rsidRDefault="00A27236" w:rsidP="00A2723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36.210, Utilities Code, by amending Subsections (a), (d), and (g) and adding Subsections (h) and (i), as follows:</w:t>
      </w:r>
    </w:p>
    <w:p w:rsidR="00A27236" w:rsidRDefault="00A27236" w:rsidP="00A27236">
      <w:pPr>
        <w:spacing w:after="0" w:line="240" w:lineRule="auto"/>
        <w:jc w:val="both"/>
        <w:rPr>
          <w:rFonts w:eastAsia="Times New Roman" w:cs="Times New Roman"/>
          <w:szCs w:val="24"/>
        </w:rPr>
      </w:pPr>
    </w:p>
    <w:p w:rsidR="00A27236" w:rsidRDefault="00A27236" w:rsidP="00A27236">
      <w:pPr>
        <w:spacing w:after="0" w:line="240" w:lineRule="auto"/>
        <w:ind w:left="720"/>
        <w:jc w:val="both"/>
        <w:rPr>
          <w:rFonts w:eastAsia="Times New Roman" w:cs="Times New Roman"/>
          <w:szCs w:val="24"/>
        </w:rPr>
      </w:pPr>
      <w:r>
        <w:rPr>
          <w:rFonts w:eastAsia="Times New Roman" w:cs="Times New Roman"/>
          <w:szCs w:val="24"/>
        </w:rPr>
        <w:t xml:space="preserve">(a) Authorizes the Public Utility Commission of Texas (PUC), rather than the PUC or a regulatory authority, </w:t>
      </w:r>
      <w:r w:rsidRPr="00F15463">
        <w:rPr>
          <w:rFonts w:eastAsia="Times New Roman" w:cs="Times New Roman"/>
          <w:szCs w:val="24"/>
        </w:rPr>
        <w:t xml:space="preserve">on the petition of an electric utility, </w:t>
      </w:r>
      <w:r>
        <w:rPr>
          <w:rFonts w:eastAsia="Times New Roman" w:cs="Times New Roman"/>
          <w:szCs w:val="24"/>
        </w:rPr>
        <w:t>to</w:t>
      </w:r>
      <w:r w:rsidRPr="00F15463">
        <w:rPr>
          <w:rFonts w:eastAsia="Times New Roman" w:cs="Times New Roman"/>
          <w:szCs w:val="24"/>
        </w:rPr>
        <w:t xml:space="preserve"> approve a tariff or rate schedule in which a nonfuel rate </w:t>
      </w:r>
      <w:r>
        <w:rPr>
          <w:rFonts w:eastAsia="Times New Roman" w:cs="Times New Roman"/>
          <w:szCs w:val="24"/>
        </w:rPr>
        <w:t>is authorized to</w:t>
      </w:r>
      <w:r w:rsidRPr="00F15463">
        <w:rPr>
          <w:rFonts w:eastAsia="Times New Roman" w:cs="Times New Roman"/>
          <w:szCs w:val="24"/>
        </w:rPr>
        <w:t xml:space="preserve"> be periodically adjusted upward or downward, based on changes in the parts of the utility's invested capital, as described by Section 36.053</w:t>
      </w:r>
      <w:r>
        <w:rPr>
          <w:rFonts w:eastAsia="Times New Roman" w:cs="Times New Roman"/>
          <w:szCs w:val="24"/>
        </w:rPr>
        <w:t xml:space="preserve"> (Components of Invested Capital)</w:t>
      </w:r>
      <w:r w:rsidRPr="00F15463">
        <w:rPr>
          <w:rFonts w:eastAsia="Times New Roman" w:cs="Times New Roman"/>
          <w:szCs w:val="24"/>
        </w:rPr>
        <w:t xml:space="preserve">, that are categorized or functionalized as distribution plant, distribution-related intangible plant, and distribution-related communication equipment and networks in accordance with </w:t>
      </w:r>
      <w:r>
        <w:rPr>
          <w:rFonts w:eastAsia="Times New Roman" w:cs="Times New Roman"/>
          <w:szCs w:val="24"/>
        </w:rPr>
        <w:t>PUC</w:t>
      </w:r>
      <w:r w:rsidRPr="00F15463">
        <w:rPr>
          <w:rFonts w:eastAsia="Times New Roman" w:cs="Times New Roman"/>
          <w:szCs w:val="24"/>
        </w:rPr>
        <w:t xml:space="preserve"> rules adopted after consideration of the uniform system of accounts prescribed by the Federal Energy Regulatory Commission</w:t>
      </w:r>
      <w:r>
        <w:rPr>
          <w:rFonts w:eastAsia="Times New Roman" w:cs="Times New Roman"/>
          <w:szCs w:val="24"/>
        </w:rPr>
        <w:t xml:space="preserve">. Requires that a periodic rate adjustment be approved or denied in accordance with a procedure that meets certain criteria. </w:t>
      </w:r>
    </w:p>
    <w:p w:rsidR="00A27236" w:rsidRDefault="00A27236" w:rsidP="00A27236">
      <w:pPr>
        <w:spacing w:after="0" w:line="240" w:lineRule="auto"/>
        <w:ind w:left="720"/>
        <w:jc w:val="both"/>
        <w:rPr>
          <w:rFonts w:eastAsia="Times New Roman" w:cs="Times New Roman"/>
          <w:szCs w:val="24"/>
        </w:rPr>
      </w:pPr>
    </w:p>
    <w:p w:rsidR="00A27236" w:rsidRDefault="00A27236" w:rsidP="00A27236">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a periodic rate adjustment </w:t>
      </w:r>
      <w:r w:rsidRPr="00F15463">
        <w:rPr>
          <w:rFonts w:eastAsia="Times New Roman" w:cs="Times New Roman"/>
          <w:szCs w:val="24"/>
        </w:rPr>
        <w:t>be approved or denied in accordance with an expedited procedure that</w:t>
      </w:r>
      <w:r>
        <w:rPr>
          <w:rFonts w:eastAsia="Times New Roman" w:cs="Times New Roman"/>
          <w:szCs w:val="24"/>
        </w:rPr>
        <w:t xml:space="preserve"> provides for appropriate updates of information and extends for not less that 60 days. Makes nonsubstantive changes.</w:t>
      </w:r>
    </w:p>
    <w:p w:rsidR="00A27236" w:rsidRDefault="00A27236" w:rsidP="00A27236">
      <w:pPr>
        <w:spacing w:after="0" w:line="240" w:lineRule="auto"/>
        <w:ind w:left="720"/>
        <w:jc w:val="both"/>
        <w:rPr>
          <w:rFonts w:eastAsia="Times New Roman" w:cs="Times New Roman"/>
          <w:szCs w:val="24"/>
        </w:rPr>
      </w:pPr>
    </w:p>
    <w:p w:rsidR="00A27236" w:rsidRDefault="00A27236" w:rsidP="00A27236">
      <w:pPr>
        <w:spacing w:after="0" w:line="240" w:lineRule="auto"/>
        <w:ind w:left="720"/>
        <w:jc w:val="both"/>
        <w:rPr>
          <w:rFonts w:eastAsia="Times New Roman" w:cs="Times New Roman"/>
          <w:szCs w:val="24"/>
        </w:rPr>
      </w:pPr>
      <w:r>
        <w:rPr>
          <w:rFonts w:eastAsia="Times New Roman" w:cs="Times New Roman"/>
          <w:szCs w:val="24"/>
        </w:rPr>
        <w:t xml:space="preserve">(d) Prohibits an electric utility from </w:t>
      </w:r>
      <w:r w:rsidRPr="00F15463">
        <w:rPr>
          <w:rFonts w:eastAsia="Times New Roman" w:cs="Times New Roman"/>
          <w:szCs w:val="24"/>
        </w:rPr>
        <w:t>adjust</w:t>
      </w:r>
      <w:r>
        <w:rPr>
          <w:rFonts w:eastAsia="Times New Roman" w:cs="Times New Roman"/>
          <w:szCs w:val="24"/>
        </w:rPr>
        <w:t>ing</w:t>
      </w:r>
      <w:r w:rsidRPr="00F15463">
        <w:rPr>
          <w:rFonts w:eastAsia="Times New Roman" w:cs="Times New Roman"/>
          <w:szCs w:val="24"/>
        </w:rPr>
        <w:t xml:space="preserve"> the utility's rates under </w:t>
      </w:r>
      <w:r>
        <w:rPr>
          <w:rFonts w:eastAsia="Times New Roman" w:cs="Times New Roman"/>
          <w:szCs w:val="24"/>
        </w:rPr>
        <w:t>S</w:t>
      </w:r>
      <w:r w:rsidRPr="00F15463">
        <w:rPr>
          <w:rFonts w:eastAsia="Times New Roman" w:cs="Times New Roman"/>
          <w:szCs w:val="24"/>
        </w:rPr>
        <w:t>ection</w:t>
      </w:r>
      <w:r>
        <w:rPr>
          <w:rFonts w:eastAsia="Times New Roman" w:cs="Times New Roman"/>
          <w:szCs w:val="24"/>
        </w:rPr>
        <w:t xml:space="preserve"> 36.210 (Periodic Rate Adjustments)</w:t>
      </w:r>
      <w:r w:rsidRPr="00F15463">
        <w:rPr>
          <w:rFonts w:eastAsia="Times New Roman" w:cs="Times New Roman"/>
          <w:szCs w:val="24"/>
        </w:rPr>
        <w:t xml:space="preserve"> more than twice per year</w:t>
      </w:r>
      <w:r>
        <w:rPr>
          <w:rFonts w:eastAsia="Times New Roman" w:cs="Times New Roman"/>
          <w:szCs w:val="24"/>
        </w:rPr>
        <w:t xml:space="preserve">. Deletes existing text prohibiting an electric utility, except </w:t>
      </w:r>
      <w:r w:rsidRPr="00F15463">
        <w:rPr>
          <w:rFonts w:eastAsia="Times New Roman" w:cs="Times New Roman"/>
          <w:szCs w:val="24"/>
        </w:rPr>
        <w:t>as provided by Subsection (d-1)</w:t>
      </w:r>
      <w:r>
        <w:rPr>
          <w:rFonts w:eastAsia="Times New Roman" w:cs="Times New Roman"/>
          <w:szCs w:val="24"/>
        </w:rPr>
        <w:t xml:space="preserve"> (relating to authorizing certain electric utilities to </w:t>
      </w:r>
      <w:r w:rsidRPr="00F15463">
        <w:rPr>
          <w:rFonts w:eastAsia="Times New Roman" w:cs="Times New Roman"/>
          <w:szCs w:val="24"/>
        </w:rPr>
        <w:t>adjust the utility's rates more than four times between base rate proceedings</w:t>
      </w:r>
      <w:r>
        <w:rPr>
          <w:rFonts w:eastAsia="Times New Roman" w:cs="Times New Roman"/>
          <w:szCs w:val="24"/>
        </w:rPr>
        <w:t>)</w:t>
      </w:r>
      <w:r w:rsidRPr="00F15463">
        <w:rPr>
          <w:rFonts w:eastAsia="Times New Roman" w:cs="Times New Roman"/>
          <w:szCs w:val="24"/>
        </w:rPr>
        <w:t>,</w:t>
      </w:r>
      <w:r>
        <w:rPr>
          <w:rFonts w:eastAsia="Times New Roman" w:cs="Times New Roman"/>
          <w:szCs w:val="24"/>
        </w:rPr>
        <w:t xml:space="preserve"> from </w:t>
      </w:r>
      <w:r w:rsidRPr="00F15463">
        <w:rPr>
          <w:rFonts w:eastAsia="Times New Roman" w:cs="Times New Roman"/>
          <w:szCs w:val="24"/>
        </w:rPr>
        <w:t>adjust</w:t>
      </w:r>
      <w:r>
        <w:rPr>
          <w:rFonts w:eastAsia="Times New Roman" w:cs="Times New Roman"/>
          <w:szCs w:val="24"/>
        </w:rPr>
        <w:t>ing</w:t>
      </w:r>
      <w:r w:rsidRPr="00F15463">
        <w:rPr>
          <w:rFonts w:eastAsia="Times New Roman" w:cs="Times New Roman"/>
          <w:szCs w:val="24"/>
        </w:rPr>
        <w:t xml:space="preserve"> the utility's rates under this section more than once per year and more than four times between comprehensive base rate proceedings.</w:t>
      </w:r>
    </w:p>
    <w:p w:rsidR="00A27236" w:rsidRDefault="00A27236" w:rsidP="00A27236">
      <w:pPr>
        <w:spacing w:after="0" w:line="240" w:lineRule="auto"/>
        <w:ind w:left="720"/>
        <w:jc w:val="both"/>
        <w:rPr>
          <w:rFonts w:eastAsia="Times New Roman" w:cs="Times New Roman"/>
          <w:szCs w:val="24"/>
        </w:rPr>
      </w:pPr>
    </w:p>
    <w:p w:rsidR="00A27236" w:rsidRDefault="00A27236" w:rsidP="00A27236">
      <w:pPr>
        <w:spacing w:after="0" w:line="240" w:lineRule="auto"/>
        <w:ind w:left="720"/>
        <w:jc w:val="both"/>
        <w:rPr>
          <w:rFonts w:eastAsia="Times New Roman" w:cs="Times New Roman"/>
          <w:szCs w:val="24"/>
        </w:rPr>
      </w:pPr>
      <w:r>
        <w:rPr>
          <w:rFonts w:eastAsia="Times New Roman" w:cs="Times New Roman"/>
          <w:szCs w:val="24"/>
        </w:rPr>
        <w:t xml:space="preserve">(g) Requires that PUC rules provide for certain criteria, including </w:t>
      </w:r>
      <w:r w:rsidRPr="00F15463">
        <w:rPr>
          <w:rFonts w:eastAsia="Times New Roman" w:cs="Times New Roman"/>
          <w:szCs w:val="24"/>
        </w:rPr>
        <w:t>filing requirements and discovery consistent with Subsection</w:t>
      </w:r>
      <w:r>
        <w:rPr>
          <w:rFonts w:eastAsia="Times New Roman" w:cs="Times New Roman"/>
          <w:szCs w:val="24"/>
        </w:rPr>
        <w:t xml:space="preserve"> (a), rather than </w:t>
      </w:r>
      <w:r w:rsidRPr="00F15463">
        <w:rPr>
          <w:rFonts w:eastAsia="Times New Roman" w:cs="Times New Roman"/>
          <w:szCs w:val="24"/>
        </w:rPr>
        <w:t xml:space="preserve">the expedited procedure described by </w:t>
      </w:r>
      <w:r>
        <w:rPr>
          <w:rFonts w:eastAsia="Times New Roman" w:cs="Times New Roman"/>
          <w:szCs w:val="24"/>
        </w:rPr>
        <w:t>Subsection (a)(1). Makes a conforming change.</w:t>
      </w:r>
    </w:p>
    <w:p w:rsidR="00A27236" w:rsidRDefault="00A27236" w:rsidP="00A27236">
      <w:pPr>
        <w:spacing w:after="0" w:line="240" w:lineRule="auto"/>
        <w:ind w:left="720"/>
        <w:jc w:val="both"/>
        <w:rPr>
          <w:rFonts w:eastAsia="Times New Roman" w:cs="Times New Roman"/>
          <w:szCs w:val="24"/>
        </w:rPr>
      </w:pPr>
    </w:p>
    <w:p w:rsidR="00A27236" w:rsidRDefault="00A27236" w:rsidP="00A27236">
      <w:pPr>
        <w:spacing w:after="0" w:line="240" w:lineRule="auto"/>
        <w:ind w:left="720"/>
        <w:jc w:val="both"/>
        <w:rPr>
          <w:rFonts w:eastAsia="Times New Roman" w:cs="Times New Roman"/>
          <w:szCs w:val="24"/>
        </w:rPr>
      </w:pPr>
      <w:r w:rsidRPr="00F15463">
        <w:rPr>
          <w:rFonts w:eastAsia="Times New Roman" w:cs="Times New Roman"/>
          <w:szCs w:val="24"/>
        </w:rPr>
        <w:t xml:space="preserve">(h) </w:t>
      </w:r>
      <w:r>
        <w:rPr>
          <w:rFonts w:eastAsia="Times New Roman" w:cs="Times New Roman"/>
          <w:szCs w:val="24"/>
        </w:rPr>
        <w:t>Authorizes a</w:t>
      </w:r>
      <w:r w:rsidRPr="00F15463">
        <w:rPr>
          <w:rFonts w:eastAsia="Times New Roman" w:cs="Times New Roman"/>
          <w:szCs w:val="24"/>
        </w:rPr>
        <w:t xml:space="preserve">n electric utility </w:t>
      </w:r>
      <w:r>
        <w:rPr>
          <w:rFonts w:eastAsia="Times New Roman" w:cs="Times New Roman"/>
          <w:szCs w:val="24"/>
        </w:rPr>
        <w:t>to</w:t>
      </w:r>
      <w:r w:rsidRPr="00F15463">
        <w:rPr>
          <w:rFonts w:eastAsia="Times New Roman" w:cs="Times New Roman"/>
          <w:szCs w:val="24"/>
        </w:rPr>
        <w:t xml:space="preserve"> file a request for a periodic rate adjustment under this section on any day on which the </w:t>
      </w:r>
      <w:r>
        <w:rPr>
          <w:rFonts w:eastAsia="Times New Roman" w:cs="Times New Roman"/>
          <w:szCs w:val="24"/>
        </w:rPr>
        <w:t>PUC</w:t>
      </w:r>
      <w:r w:rsidRPr="00F15463">
        <w:rPr>
          <w:rFonts w:eastAsia="Times New Roman" w:cs="Times New Roman"/>
          <w:szCs w:val="24"/>
        </w:rPr>
        <w:t xml:space="preserve"> is open for business</w:t>
      </w:r>
      <w:r>
        <w:rPr>
          <w:rFonts w:eastAsia="Times New Roman" w:cs="Times New Roman"/>
          <w:szCs w:val="24"/>
        </w:rPr>
        <w:t>,</w:t>
      </w:r>
      <w:r w:rsidRPr="003044AE">
        <w:t xml:space="preserve"> </w:t>
      </w:r>
      <w:r w:rsidRPr="003044AE">
        <w:rPr>
          <w:rFonts w:eastAsia="Times New Roman" w:cs="Times New Roman"/>
          <w:szCs w:val="24"/>
        </w:rPr>
        <w:t xml:space="preserve">except that if the utility has a base rate proceeding pending, the utility </w:t>
      </w:r>
      <w:r>
        <w:rPr>
          <w:rFonts w:eastAsia="Times New Roman" w:cs="Times New Roman"/>
          <w:szCs w:val="24"/>
        </w:rPr>
        <w:t>is prohibited from</w:t>
      </w:r>
      <w:r w:rsidRPr="003044AE">
        <w:rPr>
          <w:rFonts w:eastAsia="Times New Roman" w:cs="Times New Roman"/>
          <w:szCs w:val="24"/>
        </w:rPr>
        <w:t xml:space="preserve"> fil</w:t>
      </w:r>
      <w:r>
        <w:rPr>
          <w:rFonts w:eastAsia="Times New Roman" w:cs="Times New Roman"/>
          <w:szCs w:val="24"/>
        </w:rPr>
        <w:t>ing</w:t>
      </w:r>
      <w:r w:rsidRPr="003044AE">
        <w:rPr>
          <w:rFonts w:eastAsia="Times New Roman" w:cs="Times New Roman"/>
          <w:szCs w:val="24"/>
        </w:rPr>
        <w:t xml:space="preserve"> the request before the 185th day after the date the base rate proceeding was initiated. </w:t>
      </w:r>
      <w:r>
        <w:rPr>
          <w:rFonts w:eastAsia="Times New Roman" w:cs="Times New Roman"/>
          <w:szCs w:val="24"/>
        </w:rPr>
        <w:t xml:space="preserve">Authorizes the </w:t>
      </w:r>
      <w:r w:rsidRPr="003044AE">
        <w:rPr>
          <w:rFonts w:eastAsia="Times New Roman" w:cs="Times New Roman"/>
          <w:szCs w:val="24"/>
        </w:rPr>
        <w:t xml:space="preserve">electric utility </w:t>
      </w:r>
      <w:r>
        <w:rPr>
          <w:rFonts w:eastAsia="Times New Roman" w:cs="Times New Roman"/>
          <w:szCs w:val="24"/>
        </w:rPr>
        <w:t>to</w:t>
      </w:r>
      <w:r w:rsidRPr="003044AE">
        <w:rPr>
          <w:rFonts w:eastAsia="Times New Roman" w:cs="Times New Roman"/>
          <w:szCs w:val="24"/>
        </w:rPr>
        <w:t xml:space="preserve"> revise a request to reflect the final order issued in the base rate proceeding</w:t>
      </w:r>
      <w:r w:rsidRPr="00F15463">
        <w:rPr>
          <w:rFonts w:eastAsia="Times New Roman" w:cs="Times New Roman"/>
          <w:szCs w:val="24"/>
        </w:rPr>
        <w:t xml:space="preserve">. </w:t>
      </w:r>
      <w:r>
        <w:rPr>
          <w:rFonts w:eastAsia="Times New Roman" w:cs="Times New Roman"/>
          <w:szCs w:val="24"/>
        </w:rPr>
        <w:t xml:space="preserve">Provides that the </w:t>
      </w:r>
      <w:r w:rsidRPr="00F15463">
        <w:rPr>
          <w:rFonts w:eastAsia="Times New Roman" w:cs="Times New Roman"/>
          <w:szCs w:val="24"/>
        </w:rPr>
        <w:t>fact that an electric utility has a base rate proceeding pending during a proceeding conducted under this section does not establish grounds for dismissal of either proceeding.</w:t>
      </w:r>
    </w:p>
    <w:p w:rsidR="00A27236" w:rsidRPr="00F15463" w:rsidRDefault="00A27236" w:rsidP="00A27236">
      <w:pPr>
        <w:spacing w:after="0" w:line="240" w:lineRule="auto"/>
        <w:ind w:left="720"/>
        <w:jc w:val="both"/>
        <w:rPr>
          <w:rFonts w:eastAsia="Times New Roman" w:cs="Times New Roman"/>
          <w:szCs w:val="24"/>
        </w:rPr>
      </w:pPr>
    </w:p>
    <w:p w:rsidR="00A27236" w:rsidRPr="005C2A78" w:rsidRDefault="00A27236" w:rsidP="00A27236">
      <w:pPr>
        <w:spacing w:after="0" w:line="240" w:lineRule="auto"/>
        <w:ind w:left="720"/>
        <w:jc w:val="both"/>
        <w:rPr>
          <w:rFonts w:eastAsia="Times New Roman" w:cs="Times New Roman"/>
          <w:szCs w:val="24"/>
        </w:rPr>
      </w:pPr>
      <w:r w:rsidRPr="00F15463">
        <w:rPr>
          <w:rFonts w:eastAsia="Times New Roman" w:cs="Times New Roman"/>
          <w:szCs w:val="24"/>
        </w:rPr>
        <w:t>(</w:t>
      </w:r>
      <w:r>
        <w:rPr>
          <w:rFonts w:eastAsia="Times New Roman" w:cs="Times New Roman"/>
          <w:szCs w:val="24"/>
        </w:rPr>
        <w:t>i) Requires the PUC</w:t>
      </w:r>
      <w:r w:rsidRPr="00F15463">
        <w:rPr>
          <w:rFonts w:eastAsia="Times New Roman" w:cs="Times New Roman"/>
          <w:szCs w:val="24"/>
        </w:rPr>
        <w:t xml:space="preserve"> </w:t>
      </w:r>
      <w:r>
        <w:rPr>
          <w:rFonts w:eastAsia="Times New Roman" w:cs="Times New Roman"/>
          <w:szCs w:val="24"/>
        </w:rPr>
        <w:t>to</w:t>
      </w:r>
      <w:r w:rsidRPr="00F15463">
        <w:rPr>
          <w:rFonts w:eastAsia="Times New Roman" w:cs="Times New Roman"/>
          <w:szCs w:val="24"/>
        </w:rPr>
        <w:t xml:space="preserve"> enter a final order on a request for a periodic rate adjustment under this section not later than the 60th day after the date the request is filed.</w:t>
      </w:r>
      <w:r w:rsidRPr="003044AE">
        <w:t xml:space="preserve"> </w:t>
      </w:r>
      <w:r>
        <w:rPr>
          <w:rFonts w:eastAsia="Times New Roman" w:cs="Times New Roman"/>
          <w:szCs w:val="24"/>
        </w:rPr>
        <w:t>Authorizes the PUC to</w:t>
      </w:r>
      <w:r w:rsidRPr="003044AE">
        <w:rPr>
          <w:rFonts w:eastAsia="Times New Roman" w:cs="Times New Roman"/>
          <w:szCs w:val="24"/>
        </w:rPr>
        <w:t xml:space="preserve"> extend the deadline for not more than 15 days for good cause.</w:t>
      </w:r>
    </w:p>
    <w:p w:rsidR="00A27236" w:rsidRPr="005C2A78" w:rsidRDefault="00A27236" w:rsidP="00A27236">
      <w:pPr>
        <w:spacing w:after="0" w:line="240" w:lineRule="auto"/>
        <w:jc w:val="both"/>
        <w:rPr>
          <w:rFonts w:eastAsia="Times New Roman" w:cs="Times New Roman"/>
          <w:szCs w:val="24"/>
        </w:rPr>
      </w:pPr>
    </w:p>
    <w:p w:rsidR="00A27236" w:rsidRDefault="00A27236" w:rsidP="00A27236">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Repealer: Section 36.210(d-1) (</w:t>
      </w:r>
      <w:r w:rsidRPr="00F15463">
        <w:rPr>
          <w:rFonts w:eastAsia="Times New Roman" w:cs="Times New Roman"/>
          <w:szCs w:val="24"/>
        </w:rPr>
        <w:t>relating to authorizing certain electric utilities to adjust the utility's rates more than four times between base rate proceedings)</w:t>
      </w:r>
      <w:r>
        <w:rPr>
          <w:rFonts w:eastAsia="Times New Roman" w:cs="Times New Roman"/>
          <w:szCs w:val="24"/>
        </w:rPr>
        <w:t>, Utilities Code.</w:t>
      </w:r>
    </w:p>
    <w:p w:rsidR="00A27236" w:rsidRDefault="00A27236" w:rsidP="00A27236">
      <w:pPr>
        <w:spacing w:after="0" w:line="240" w:lineRule="auto"/>
        <w:jc w:val="both"/>
        <w:rPr>
          <w:rFonts w:eastAsia="Times New Roman" w:cs="Times New Roman"/>
          <w:szCs w:val="24"/>
        </w:rPr>
      </w:pPr>
    </w:p>
    <w:p w:rsidR="00A27236" w:rsidRDefault="00A27236" w:rsidP="00A27236">
      <w:pPr>
        <w:spacing w:after="0" w:line="240" w:lineRule="auto"/>
        <w:jc w:val="both"/>
        <w:rPr>
          <w:rFonts w:eastAsia="Times New Roman" w:cs="Times New Roman"/>
          <w:szCs w:val="24"/>
        </w:rPr>
      </w:pPr>
      <w:r>
        <w:rPr>
          <w:rFonts w:eastAsia="Times New Roman" w:cs="Times New Roman"/>
          <w:szCs w:val="24"/>
        </w:rPr>
        <w:t>SECTION 3. Makes application of this Act prospective.</w:t>
      </w:r>
    </w:p>
    <w:p w:rsidR="00A27236" w:rsidRDefault="00A27236" w:rsidP="00A27236">
      <w:pPr>
        <w:spacing w:after="0" w:line="240" w:lineRule="auto"/>
        <w:jc w:val="both"/>
        <w:rPr>
          <w:rFonts w:eastAsia="Times New Roman" w:cs="Times New Roman"/>
          <w:szCs w:val="24"/>
        </w:rPr>
      </w:pPr>
    </w:p>
    <w:p w:rsidR="00A27236" w:rsidRPr="00C8671F" w:rsidRDefault="00A27236" w:rsidP="00A27236">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sectPr w:rsidR="00A2723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E8D" w:rsidRDefault="00376E8D" w:rsidP="000F1DF9">
      <w:pPr>
        <w:spacing w:after="0" w:line="240" w:lineRule="auto"/>
      </w:pPr>
      <w:r>
        <w:separator/>
      </w:r>
    </w:p>
  </w:endnote>
  <w:endnote w:type="continuationSeparator" w:id="0">
    <w:p w:rsidR="00376E8D" w:rsidRDefault="00376E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6E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723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27236">
                <w:rPr>
                  <w:sz w:val="20"/>
                  <w:szCs w:val="20"/>
                </w:rPr>
                <w:t>S.B. 1015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2723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6E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E8D" w:rsidRDefault="00376E8D" w:rsidP="000F1DF9">
      <w:pPr>
        <w:spacing w:after="0" w:line="240" w:lineRule="auto"/>
      </w:pPr>
      <w:r>
        <w:separator/>
      </w:r>
    </w:p>
  </w:footnote>
  <w:footnote w:type="continuationSeparator" w:id="0">
    <w:p w:rsidR="00376E8D" w:rsidRDefault="00376E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76E8D"/>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723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F56B"/>
  <w15:docId w15:val="{4BCEB91C-77EB-4D63-853E-F6728D34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272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D099E0E3C749A08CBD353EEFAAD4D8"/>
        <w:category>
          <w:name w:val="General"/>
          <w:gallery w:val="placeholder"/>
        </w:category>
        <w:types>
          <w:type w:val="bbPlcHdr"/>
        </w:types>
        <w:behaviors>
          <w:behavior w:val="content"/>
        </w:behaviors>
        <w:guid w:val="{85321801-734A-4EA2-A09D-E250ED4EC68B}"/>
      </w:docPartPr>
      <w:docPartBody>
        <w:p w:rsidR="00000000" w:rsidRDefault="004F59FB"/>
      </w:docPartBody>
    </w:docPart>
    <w:docPart>
      <w:docPartPr>
        <w:name w:val="16B9AC68EC384157A0CB53F24796358B"/>
        <w:category>
          <w:name w:val="General"/>
          <w:gallery w:val="placeholder"/>
        </w:category>
        <w:types>
          <w:type w:val="bbPlcHdr"/>
        </w:types>
        <w:behaviors>
          <w:behavior w:val="content"/>
        </w:behaviors>
        <w:guid w:val="{ED46EA9D-50E1-461E-8999-F9EA3E2A1F3D}"/>
      </w:docPartPr>
      <w:docPartBody>
        <w:p w:rsidR="00000000" w:rsidRDefault="004F59FB"/>
      </w:docPartBody>
    </w:docPart>
    <w:docPart>
      <w:docPartPr>
        <w:name w:val="C4642E73B0134336990B584E37F03756"/>
        <w:category>
          <w:name w:val="General"/>
          <w:gallery w:val="placeholder"/>
        </w:category>
        <w:types>
          <w:type w:val="bbPlcHdr"/>
        </w:types>
        <w:behaviors>
          <w:behavior w:val="content"/>
        </w:behaviors>
        <w:guid w:val="{0F8BE351-D63F-4472-B043-E92C4DCB9840}"/>
      </w:docPartPr>
      <w:docPartBody>
        <w:p w:rsidR="00000000" w:rsidRDefault="004F59FB"/>
      </w:docPartBody>
    </w:docPart>
    <w:docPart>
      <w:docPartPr>
        <w:name w:val="A49B7E5D5E374CEA9629524ED58170B7"/>
        <w:category>
          <w:name w:val="General"/>
          <w:gallery w:val="placeholder"/>
        </w:category>
        <w:types>
          <w:type w:val="bbPlcHdr"/>
        </w:types>
        <w:behaviors>
          <w:behavior w:val="content"/>
        </w:behaviors>
        <w:guid w:val="{D37FA452-FAC7-460B-AC30-073E280BFC8B}"/>
      </w:docPartPr>
      <w:docPartBody>
        <w:p w:rsidR="00000000" w:rsidRDefault="004F59FB"/>
      </w:docPartBody>
    </w:docPart>
    <w:docPart>
      <w:docPartPr>
        <w:name w:val="FF5A1C7E8A7943A798F171F24D4E1330"/>
        <w:category>
          <w:name w:val="General"/>
          <w:gallery w:val="placeholder"/>
        </w:category>
        <w:types>
          <w:type w:val="bbPlcHdr"/>
        </w:types>
        <w:behaviors>
          <w:behavior w:val="content"/>
        </w:behaviors>
        <w:guid w:val="{C67B00F0-8465-4DD2-A2E4-1249F6301A1B}"/>
      </w:docPartPr>
      <w:docPartBody>
        <w:p w:rsidR="00000000" w:rsidRDefault="004F59FB"/>
      </w:docPartBody>
    </w:docPart>
    <w:docPart>
      <w:docPartPr>
        <w:name w:val="6F3860DFA0E8433EBBCF42879C65F081"/>
        <w:category>
          <w:name w:val="General"/>
          <w:gallery w:val="placeholder"/>
        </w:category>
        <w:types>
          <w:type w:val="bbPlcHdr"/>
        </w:types>
        <w:behaviors>
          <w:behavior w:val="content"/>
        </w:behaviors>
        <w:guid w:val="{1E1E7DB1-66C7-4018-B1F6-2C999EC208D8}"/>
      </w:docPartPr>
      <w:docPartBody>
        <w:p w:rsidR="00000000" w:rsidRDefault="004F59FB"/>
      </w:docPartBody>
    </w:docPart>
    <w:docPart>
      <w:docPartPr>
        <w:name w:val="990787F47ED74981ABD8C3C8E6ECAA0D"/>
        <w:category>
          <w:name w:val="General"/>
          <w:gallery w:val="placeholder"/>
        </w:category>
        <w:types>
          <w:type w:val="bbPlcHdr"/>
        </w:types>
        <w:behaviors>
          <w:behavior w:val="content"/>
        </w:behaviors>
        <w:guid w:val="{0617B977-8B9E-43EB-8571-0630EF065403}"/>
      </w:docPartPr>
      <w:docPartBody>
        <w:p w:rsidR="00000000" w:rsidRDefault="004F59FB"/>
      </w:docPartBody>
    </w:docPart>
    <w:docPart>
      <w:docPartPr>
        <w:name w:val="440A811D3D024CCA84F8928EA44FCD31"/>
        <w:category>
          <w:name w:val="General"/>
          <w:gallery w:val="placeholder"/>
        </w:category>
        <w:types>
          <w:type w:val="bbPlcHdr"/>
        </w:types>
        <w:behaviors>
          <w:behavior w:val="content"/>
        </w:behaviors>
        <w:guid w:val="{ADC5572B-D67E-4712-AA96-B7EC0A4C177C}"/>
      </w:docPartPr>
      <w:docPartBody>
        <w:p w:rsidR="00000000" w:rsidRDefault="004F59FB"/>
      </w:docPartBody>
    </w:docPart>
    <w:docPart>
      <w:docPartPr>
        <w:name w:val="6A17DCCD2E6D4ED498ABDE66844A045A"/>
        <w:category>
          <w:name w:val="General"/>
          <w:gallery w:val="placeholder"/>
        </w:category>
        <w:types>
          <w:type w:val="bbPlcHdr"/>
        </w:types>
        <w:behaviors>
          <w:behavior w:val="content"/>
        </w:behaviors>
        <w:guid w:val="{4B16A575-1942-4A98-84D7-A8D912F5EA7C}"/>
      </w:docPartPr>
      <w:docPartBody>
        <w:p w:rsidR="00000000" w:rsidRDefault="004F59FB"/>
      </w:docPartBody>
    </w:docPart>
    <w:docPart>
      <w:docPartPr>
        <w:name w:val="00DD0B4EFCDE4741BCDD2580A75E309C"/>
        <w:category>
          <w:name w:val="General"/>
          <w:gallery w:val="placeholder"/>
        </w:category>
        <w:types>
          <w:type w:val="bbPlcHdr"/>
        </w:types>
        <w:behaviors>
          <w:behavior w:val="content"/>
        </w:behaviors>
        <w:guid w:val="{BBBCFF0B-927F-4408-8C06-325EC933A593}"/>
      </w:docPartPr>
      <w:docPartBody>
        <w:p w:rsidR="00000000" w:rsidRDefault="00D14406" w:rsidP="00D14406">
          <w:pPr>
            <w:pStyle w:val="00DD0B4EFCDE4741BCDD2580A75E309C"/>
          </w:pPr>
          <w:r w:rsidRPr="00A30DD1">
            <w:rPr>
              <w:rStyle w:val="PlaceholderText"/>
            </w:rPr>
            <w:t>Click here to enter a date.</w:t>
          </w:r>
        </w:p>
      </w:docPartBody>
    </w:docPart>
    <w:docPart>
      <w:docPartPr>
        <w:name w:val="6D301C15E40340C2984DED6E5F84C124"/>
        <w:category>
          <w:name w:val="General"/>
          <w:gallery w:val="placeholder"/>
        </w:category>
        <w:types>
          <w:type w:val="bbPlcHdr"/>
        </w:types>
        <w:behaviors>
          <w:behavior w:val="content"/>
        </w:behaviors>
        <w:guid w:val="{00FA2FA4-A279-489F-8259-41ECB04DDFBC}"/>
      </w:docPartPr>
      <w:docPartBody>
        <w:p w:rsidR="00000000" w:rsidRDefault="004F59FB"/>
      </w:docPartBody>
    </w:docPart>
    <w:docPart>
      <w:docPartPr>
        <w:name w:val="2187CED35E1E469C875F6DE52AA232CF"/>
        <w:category>
          <w:name w:val="General"/>
          <w:gallery w:val="placeholder"/>
        </w:category>
        <w:types>
          <w:type w:val="bbPlcHdr"/>
        </w:types>
        <w:behaviors>
          <w:behavior w:val="content"/>
        </w:behaviors>
        <w:guid w:val="{3D1D2853-E218-4863-A888-8ED729A27406}"/>
      </w:docPartPr>
      <w:docPartBody>
        <w:p w:rsidR="00000000" w:rsidRDefault="004F59FB"/>
      </w:docPartBody>
    </w:docPart>
    <w:docPart>
      <w:docPartPr>
        <w:name w:val="851474F002CE4853BD9D6573058EB8BD"/>
        <w:category>
          <w:name w:val="General"/>
          <w:gallery w:val="placeholder"/>
        </w:category>
        <w:types>
          <w:type w:val="bbPlcHdr"/>
        </w:types>
        <w:behaviors>
          <w:behavior w:val="content"/>
        </w:behaviors>
        <w:guid w:val="{5C39EEDA-6C15-41CD-8B36-F8577AC5DD3E}"/>
      </w:docPartPr>
      <w:docPartBody>
        <w:p w:rsidR="00000000" w:rsidRDefault="00D14406" w:rsidP="00D14406">
          <w:pPr>
            <w:pStyle w:val="851474F002CE4853BD9D6573058EB8BD"/>
          </w:pPr>
          <w:r>
            <w:rPr>
              <w:rFonts w:eastAsia="Times New Roman" w:cs="Times New Roman"/>
              <w:bCs/>
              <w:szCs w:val="24"/>
            </w:rPr>
            <w:t xml:space="preserve"> </w:t>
          </w:r>
        </w:p>
      </w:docPartBody>
    </w:docPart>
    <w:docPart>
      <w:docPartPr>
        <w:name w:val="E775CD85A8634B1B88C78BBCBF168D9B"/>
        <w:category>
          <w:name w:val="General"/>
          <w:gallery w:val="placeholder"/>
        </w:category>
        <w:types>
          <w:type w:val="bbPlcHdr"/>
        </w:types>
        <w:behaviors>
          <w:behavior w:val="content"/>
        </w:behaviors>
        <w:guid w:val="{A8956DD6-603A-4BBF-A276-F906AAFC7AB6}"/>
      </w:docPartPr>
      <w:docPartBody>
        <w:p w:rsidR="00000000" w:rsidRDefault="004F59FB"/>
      </w:docPartBody>
    </w:docPart>
    <w:docPart>
      <w:docPartPr>
        <w:name w:val="4E793B94F8564A65B0DB3B2ACC04A919"/>
        <w:category>
          <w:name w:val="General"/>
          <w:gallery w:val="placeholder"/>
        </w:category>
        <w:types>
          <w:type w:val="bbPlcHdr"/>
        </w:types>
        <w:behaviors>
          <w:behavior w:val="content"/>
        </w:behaviors>
        <w:guid w:val="{59F6A101-7C88-42F1-B527-BEC4F4D85833}"/>
      </w:docPartPr>
      <w:docPartBody>
        <w:p w:rsidR="00000000" w:rsidRDefault="004F5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59F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440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06"/>
    <w:rPr>
      <w:color w:val="808080"/>
    </w:rPr>
  </w:style>
  <w:style w:type="paragraph" w:customStyle="1" w:styleId="00DD0B4EFCDE4741BCDD2580A75E309C">
    <w:name w:val="00DD0B4EFCDE4741BCDD2580A75E309C"/>
    <w:rsid w:val="00D14406"/>
    <w:pPr>
      <w:spacing w:after="160" w:line="259" w:lineRule="auto"/>
    </w:pPr>
  </w:style>
  <w:style w:type="paragraph" w:customStyle="1" w:styleId="851474F002CE4853BD9D6573058EB8BD">
    <w:name w:val="851474F002CE4853BD9D6573058EB8BD"/>
    <w:rsid w:val="00D1440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860</Words>
  <Characters>4908</Characters>
  <Application>Microsoft Office Word</Application>
  <DocSecurity>0</DocSecurity>
  <Lines>40</Lines>
  <Paragraphs>11</Paragraphs>
  <ScaleCrop>false</ScaleCrop>
  <Company>Texas Legislative Council</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2023-06-05T14:17:00Z</cp:lastPrinted>
  <dcterms:created xsi:type="dcterms:W3CDTF">2015-05-29T14:24:00Z</dcterms:created>
  <dcterms:modified xsi:type="dcterms:W3CDTF">2023-06-05T14:17:00Z</dcterms:modified>
</cp:coreProperties>
</file>

<file path=docProps/custom.xml><?xml version="1.0" encoding="utf-8"?>
<op:Properties xmlns:vt="http://schemas.openxmlformats.org/officeDocument/2006/docPropsVTypes" xmlns:op="http://schemas.openxmlformats.org/officeDocument/2006/custom-properties"/>
</file>