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17429" w14:paraId="5F412028" w14:textId="77777777" w:rsidTr="00345119">
        <w:tc>
          <w:tcPr>
            <w:tcW w:w="9576" w:type="dxa"/>
            <w:noWrap/>
          </w:tcPr>
          <w:p w14:paraId="5D855600" w14:textId="77777777" w:rsidR="008423E4" w:rsidRPr="0022177D" w:rsidRDefault="00867A93" w:rsidP="009B2B33">
            <w:pPr>
              <w:pStyle w:val="Heading1"/>
            </w:pPr>
            <w:r w:rsidRPr="00631897">
              <w:t>BILL ANALYSIS</w:t>
            </w:r>
          </w:p>
        </w:tc>
      </w:tr>
    </w:tbl>
    <w:p w14:paraId="607B766C" w14:textId="77777777" w:rsidR="008423E4" w:rsidRPr="0022177D" w:rsidRDefault="008423E4" w:rsidP="009B2B33">
      <w:pPr>
        <w:jc w:val="center"/>
      </w:pPr>
    </w:p>
    <w:p w14:paraId="7B7AE98B" w14:textId="77777777" w:rsidR="008423E4" w:rsidRPr="00B31F0E" w:rsidRDefault="008423E4" w:rsidP="009B2B33"/>
    <w:p w14:paraId="355E714F" w14:textId="77777777" w:rsidR="008423E4" w:rsidRPr="00742794" w:rsidRDefault="008423E4" w:rsidP="009B2B33">
      <w:pPr>
        <w:tabs>
          <w:tab w:val="right" w:pos="9360"/>
        </w:tabs>
      </w:pPr>
    </w:p>
    <w:tbl>
      <w:tblPr>
        <w:tblW w:w="0" w:type="auto"/>
        <w:tblLayout w:type="fixed"/>
        <w:tblLook w:val="01E0" w:firstRow="1" w:lastRow="1" w:firstColumn="1" w:lastColumn="1" w:noHBand="0" w:noVBand="0"/>
      </w:tblPr>
      <w:tblGrid>
        <w:gridCol w:w="9576"/>
      </w:tblGrid>
      <w:tr w:rsidR="00317429" w14:paraId="099CCD89" w14:textId="77777777" w:rsidTr="00345119">
        <w:tc>
          <w:tcPr>
            <w:tcW w:w="9576" w:type="dxa"/>
          </w:tcPr>
          <w:p w14:paraId="032DA843" w14:textId="65FB9D03" w:rsidR="008423E4" w:rsidRPr="00861995" w:rsidRDefault="00867A93" w:rsidP="009B2B33">
            <w:pPr>
              <w:jc w:val="right"/>
            </w:pPr>
            <w:r>
              <w:t>C.S.S.B. 1015</w:t>
            </w:r>
          </w:p>
        </w:tc>
      </w:tr>
      <w:tr w:rsidR="00317429" w14:paraId="2A3ADCB4" w14:textId="77777777" w:rsidTr="00345119">
        <w:tc>
          <w:tcPr>
            <w:tcW w:w="9576" w:type="dxa"/>
          </w:tcPr>
          <w:p w14:paraId="5F85C747" w14:textId="611EB2AD" w:rsidR="008423E4" w:rsidRPr="00861995" w:rsidRDefault="00867A93" w:rsidP="009B2B33">
            <w:pPr>
              <w:jc w:val="right"/>
            </w:pPr>
            <w:r>
              <w:t xml:space="preserve">By: </w:t>
            </w:r>
            <w:r w:rsidR="000B735A">
              <w:t>King</w:t>
            </w:r>
          </w:p>
        </w:tc>
      </w:tr>
      <w:tr w:rsidR="00317429" w14:paraId="22E6A795" w14:textId="77777777" w:rsidTr="00345119">
        <w:tc>
          <w:tcPr>
            <w:tcW w:w="9576" w:type="dxa"/>
          </w:tcPr>
          <w:p w14:paraId="2F31C1DA" w14:textId="2F7F9028" w:rsidR="008423E4" w:rsidRPr="00861995" w:rsidRDefault="00867A93" w:rsidP="009B2B33">
            <w:pPr>
              <w:jc w:val="right"/>
            </w:pPr>
            <w:r>
              <w:t>State Affairs</w:t>
            </w:r>
          </w:p>
        </w:tc>
      </w:tr>
      <w:tr w:rsidR="00317429" w14:paraId="749C06D9" w14:textId="77777777" w:rsidTr="00345119">
        <w:tc>
          <w:tcPr>
            <w:tcW w:w="9576" w:type="dxa"/>
          </w:tcPr>
          <w:p w14:paraId="05B7BB60" w14:textId="56EE5480" w:rsidR="008423E4" w:rsidRDefault="00867A93" w:rsidP="009B2B33">
            <w:pPr>
              <w:jc w:val="right"/>
            </w:pPr>
            <w:r>
              <w:t>Committee Report (Substituted)</w:t>
            </w:r>
          </w:p>
        </w:tc>
      </w:tr>
    </w:tbl>
    <w:p w14:paraId="20BF9CC8" w14:textId="77777777" w:rsidR="008423E4" w:rsidRDefault="008423E4" w:rsidP="009B2B33">
      <w:pPr>
        <w:tabs>
          <w:tab w:val="right" w:pos="9360"/>
        </w:tabs>
      </w:pPr>
    </w:p>
    <w:p w14:paraId="71EE7880" w14:textId="77777777" w:rsidR="008423E4" w:rsidRDefault="008423E4" w:rsidP="009B2B33"/>
    <w:p w14:paraId="6491AA27" w14:textId="77777777" w:rsidR="008423E4" w:rsidRDefault="008423E4" w:rsidP="009B2B33"/>
    <w:tbl>
      <w:tblPr>
        <w:tblW w:w="0" w:type="auto"/>
        <w:tblCellMar>
          <w:left w:w="115" w:type="dxa"/>
          <w:right w:w="115" w:type="dxa"/>
        </w:tblCellMar>
        <w:tblLook w:val="01E0" w:firstRow="1" w:lastRow="1" w:firstColumn="1" w:lastColumn="1" w:noHBand="0" w:noVBand="0"/>
      </w:tblPr>
      <w:tblGrid>
        <w:gridCol w:w="9360"/>
      </w:tblGrid>
      <w:tr w:rsidR="00317429" w14:paraId="15A53508" w14:textId="77777777" w:rsidTr="00B87B8A">
        <w:tc>
          <w:tcPr>
            <w:tcW w:w="9360" w:type="dxa"/>
          </w:tcPr>
          <w:p w14:paraId="43398A7C" w14:textId="77777777" w:rsidR="008423E4" w:rsidRPr="00A8133F" w:rsidRDefault="00867A93" w:rsidP="009B2B33">
            <w:pPr>
              <w:rPr>
                <w:b/>
              </w:rPr>
            </w:pPr>
            <w:r w:rsidRPr="009C1E9A">
              <w:rPr>
                <w:b/>
                <w:u w:val="single"/>
              </w:rPr>
              <w:t>BACKGROUND AND PURPOSE</w:t>
            </w:r>
            <w:r>
              <w:rPr>
                <w:b/>
              </w:rPr>
              <w:t xml:space="preserve"> </w:t>
            </w:r>
          </w:p>
          <w:p w14:paraId="11829B9B" w14:textId="77777777" w:rsidR="008423E4" w:rsidRDefault="008423E4" w:rsidP="009B2B33"/>
          <w:p w14:paraId="5A9833A4" w14:textId="67105696" w:rsidR="008423E4" w:rsidRDefault="00867A93" w:rsidP="009B2B33">
            <w:pPr>
              <w:jc w:val="both"/>
            </w:pPr>
            <w:r w:rsidRPr="00F97463">
              <w:rPr>
                <w:color w:val="000000"/>
              </w:rPr>
              <w:t xml:space="preserve">Electric utilities are authorized to apply to the Public Utility Commission of Texas for inclusion of a distributed cost recovery </w:t>
            </w:r>
            <w:r w:rsidRPr="00F97463">
              <w:rPr>
                <w:color w:val="000000"/>
              </w:rPr>
              <w:t>factor (DCRF) in their tariffs, which allows the utility to adjust rates to account for changes in distribution invested capital between base rate proceedings on a system-wide basis. A similar process exists for transmission service called transmission cos</w:t>
            </w:r>
            <w:r w:rsidRPr="00F97463">
              <w:rPr>
                <w:color w:val="000000"/>
              </w:rPr>
              <w:t>t of service (TCOS), and utilities can use that process up to two times a year, including when a full rate review is in process. The DCRF process needs to be updated to be consistent with the TCOS process to increase efficiency, reduce the time that DCRF r</w:t>
            </w:r>
            <w:r w:rsidRPr="00F97463">
              <w:rPr>
                <w:color w:val="000000"/>
              </w:rPr>
              <w:t>eviews take to complete, and eliminate duplicative filings with regulatory authorities. C.S.S.B. 1015 seeks to revise statutory provisions governing the DCRF process to address these efficiency concerns and make the process more consistent with the one use</w:t>
            </w:r>
            <w:r w:rsidRPr="00F97463">
              <w:rPr>
                <w:color w:val="000000"/>
              </w:rPr>
              <w:t>d to review and approve the cost recovery of transmission projects, while preserving the ability of affected parties, including municipalities, to participate in the proceedings</w:t>
            </w:r>
            <w:r w:rsidR="00162421">
              <w:t>.</w:t>
            </w:r>
          </w:p>
          <w:p w14:paraId="1C020C79" w14:textId="77777777" w:rsidR="008423E4" w:rsidRPr="00E26B13" w:rsidRDefault="008423E4" w:rsidP="009B2B33">
            <w:pPr>
              <w:rPr>
                <w:b/>
              </w:rPr>
            </w:pPr>
          </w:p>
        </w:tc>
      </w:tr>
      <w:tr w:rsidR="00317429" w14:paraId="017D322C" w14:textId="77777777" w:rsidTr="00B87B8A">
        <w:tc>
          <w:tcPr>
            <w:tcW w:w="9360" w:type="dxa"/>
          </w:tcPr>
          <w:p w14:paraId="7DF03AC9" w14:textId="77777777" w:rsidR="0017725B" w:rsidRDefault="00867A93" w:rsidP="009B2B33">
            <w:pPr>
              <w:rPr>
                <w:b/>
                <w:u w:val="single"/>
              </w:rPr>
            </w:pPr>
            <w:r>
              <w:rPr>
                <w:b/>
                <w:u w:val="single"/>
              </w:rPr>
              <w:t>CRIMINAL JUSTICE IMPACT</w:t>
            </w:r>
          </w:p>
          <w:p w14:paraId="040C2AC8" w14:textId="77777777" w:rsidR="0017725B" w:rsidRDefault="0017725B" w:rsidP="009B2B33">
            <w:pPr>
              <w:rPr>
                <w:b/>
                <w:u w:val="single"/>
              </w:rPr>
            </w:pPr>
          </w:p>
          <w:p w14:paraId="00501D4C" w14:textId="1C80A35F" w:rsidR="00E7241F" w:rsidRPr="00E7241F" w:rsidRDefault="00867A93" w:rsidP="009B2B33">
            <w:pPr>
              <w:jc w:val="both"/>
            </w:pPr>
            <w:r>
              <w:t xml:space="preserve">It is the committee's opinion that this bill does </w:t>
            </w:r>
            <w:r>
              <w:t>not expressly create a criminal offense, increase the punishment for an existing criminal offense or category of offenses, or change the eligibility of a person for community supervision, parole, or mandatory supervision.</w:t>
            </w:r>
          </w:p>
          <w:p w14:paraId="4EA094E7" w14:textId="77777777" w:rsidR="0017725B" w:rsidRPr="0017725B" w:rsidRDefault="0017725B" w:rsidP="009B2B33">
            <w:pPr>
              <w:rPr>
                <w:b/>
                <w:u w:val="single"/>
              </w:rPr>
            </w:pPr>
          </w:p>
        </w:tc>
      </w:tr>
      <w:tr w:rsidR="00317429" w14:paraId="4AFE94DA" w14:textId="77777777" w:rsidTr="00B87B8A">
        <w:tc>
          <w:tcPr>
            <w:tcW w:w="9360" w:type="dxa"/>
          </w:tcPr>
          <w:p w14:paraId="3AFA63B4" w14:textId="77777777" w:rsidR="008423E4" w:rsidRPr="00A8133F" w:rsidRDefault="00867A93" w:rsidP="009B2B33">
            <w:pPr>
              <w:rPr>
                <w:b/>
              </w:rPr>
            </w:pPr>
            <w:r w:rsidRPr="009C1E9A">
              <w:rPr>
                <w:b/>
                <w:u w:val="single"/>
              </w:rPr>
              <w:t>RULEMAKING AUTHORITY</w:t>
            </w:r>
            <w:r>
              <w:rPr>
                <w:b/>
              </w:rPr>
              <w:t xml:space="preserve"> </w:t>
            </w:r>
          </w:p>
          <w:p w14:paraId="32CFC031" w14:textId="77777777" w:rsidR="008423E4" w:rsidRDefault="008423E4" w:rsidP="009B2B33"/>
          <w:p w14:paraId="7409FAE7" w14:textId="3DEB6076" w:rsidR="00E7241F" w:rsidRDefault="00867A93" w:rsidP="009B2B33">
            <w:pPr>
              <w:pStyle w:val="Header"/>
              <w:tabs>
                <w:tab w:val="clear" w:pos="4320"/>
                <w:tab w:val="clear" w:pos="8640"/>
              </w:tabs>
              <w:jc w:val="both"/>
            </w:pPr>
            <w:r>
              <w:t>It is the</w:t>
            </w:r>
            <w:r>
              <w:t xml:space="preserve"> committee's opinion that this bill does not expressly grant any additional rulemaking authority to a state officer, department, agency, or institution.</w:t>
            </w:r>
          </w:p>
          <w:p w14:paraId="7529430F" w14:textId="77777777" w:rsidR="008423E4" w:rsidRPr="00E21FDC" w:rsidRDefault="008423E4" w:rsidP="009B2B33">
            <w:pPr>
              <w:rPr>
                <w:b/>
              </w:rPr>
            </w:pPr>
          </w:p>
        </w:tc>
      </w:tr>
      <w:tr w:rsidR="00317429" w14:paraId="4B3F8318" w14:textId="77777777" w:rsidTr="00B87B8A">
        <w:tc>
          <w:tcPr>
            <w:tcW w:w="9360" w:type="dxa"/>
          </w:tcPr>
          <w:p w14:paraId="23A15985" w14:textId="77777777" w:rsidR="008423E4" w:rsidRPr="00A8133F" w:rsidRDefault="00867A93" w:rsidP="009B2B33">
            <w:pPr>
              <w:rPr>
                <w:b/>
              </w:rPr>
            </w:pPr>
            <w:r w:rsidRPr="009C1E9A">
              <w:rPr>
                <w:b/>
                <w:u w:val="single"/>
              </w:rPr>
              <w:t>ANALYSIS</w:t>
            </w:r>
            <w:r>
              <w:rPr>
                <w:b/>
              </w:rPr>
              <w:t xml:space="preserve"> </w:t>
            </w:r>
          </w:p>
          <w:p w14:paraId="7FF4137C" w14:textId="77777777" w:rsidR="008423E4" w:rsidRDefault="008423E4" w:rsidP="009B2B33"/>
          <w:p w14:paraId="3F0B2531" w14:textId="55B1195C" w:rsidR="00772F6A" w:rsidRDefault="00867A93" w:rsidP="009B2B33">
            <w:pPr>
              <w:pStyle w:val="Header"/>
              <w:tabs>
                <w:tab w:val="clear" w:pos="4320"/>
                <w:tab w:val="clear" w:pos="8640"/>
              </w:tabs>
              <w:jc w:val="both"/>
            </w:pPr>
            <w:r>
              <w:t>C.S.S.B. 1015 amends the Utilities Code to</w:t>
            </w:r>
            <w:r w:rsidR="0071564B">
              <w:t xml:space="preserve"> revise </w:t>
            </w:r>
            <w:r>
              <w:t xml:space="preserve">provisions of the Public Utility </w:t>
            </w:r>
            <w:r>
              <w:t>Regulatory Act providing for the periodic adjustment of an electric utility's rates</w:t>
            </w:r>
            <w:r w:rsidR="0010595F">
              <w:t xml:space="preserve"> through the distribution cost recovery factor (DCRF) process</w:t>
            </w:r>
            <w:r>
              <w:t>.</w:t>
            </w:r>
          </w:p>
          <w:p w14:paraId="261601C2" w14:textId="77777777" w:rsidR="00772F6A" w:rsidRDefault="00772F6A" w:rsidP="009B2B33">
            <w:pPr>
              <w:pStyle w:val="Header"/>
              <w:tabs>
                <w:tab w:val="clear" w:pos="4320"/>
                <w:tab w:val="clear" w:pos="8640"/>
              </w:tabs>
              <w:jc w:val="both"/>
            </w:pPr>
          </w:p>
          <w:p w14:paraId="4A85F4EB" w14:textId="5CC0E124" w:rsidR="0071564B" w:rsidRDefault="00867A93" w:rsidP="009B2B33">
            <w:pPr>
              <w:pStyle w:val="Header"/>
              <w:tabs>
                <w:tab w:val="clear" w:pos="4320"/>
                <w:tab w:val="clear" w:pos="8640"/>
              </w:tabs>
              <w:jc w:val="both"/>
            </w:pPr>
            <w:r>
              <w:t xml:space="preserve">With respect to </w:t>
            </w:r>
            <w:r>
              <w:t xml:space="preserve">the provision authorizing the Public Utility Commission of Texas (PUC) or a municipal governing body, on </w:t>
            </w:r>
            <w:r w:rsidRPr="0071564B">
              <w:t xml:space="preserve">the petition of an electric utility, </w:t>
            </w:r>
            <w:r>
              <w:t>to</w:t>
            </w:r>
            <w:r w:rsidRPr="0071564B">
              <w:t xml:space="preserve"> approve a tariff or rate schedule in which a nonfuel rate may be periodically adjusted upward or downward, base</w:t>
            </w:r>
            <w:r w:rsidRPr="0071564B">
              <w:t xml:space="preserve">d on changes in the parts of the utility's </w:t>
            </w:r>
            <w:r w:rsidRPr="00DF42CD">
              <w:t>invested capital that are</w:t>
            </w:r>
            <w:r w:rsidRPr="0071564B">
              <w:t xml:space="preserve"> categorized as distribution plant, distribution-related intangible plant, and distribution-related communication equipment and networks</w:t>
            </w:r>
            <w:r w:rsidRPr="00DF42CD">
              <w:t>,</w:t>
            </w:r>
            <w:r w:rsidR="0043447A">
              <w:t xml:space="preserve"> </w:t>
            </w:r>
            <w:r>
              <w:t>C.S.S.B. 1015</w:t>
            </w:r>
            <w:r w:rsidR="000854FD">
              <w:t xml:space="preserve"> removes the authority for a municipal governing body to approve such a tariff or rate schedule and provides for </w:t>
            </w:r>
            <w:r w:rsidR="00530F32">
              <w:t xml:space="preserve">PUC </w:t>
            </w:r>
            <w:r w:rsidR="00CE549D">
              <w:t xml:space="preserve">periodic </w:t>
            </w:r>
            <w:r w:rsidR="00530F32">
              <w:t xml:space="preserve">DCRF review and </w:t>
            </w:r>
            <w:r w:rsidR="00CE549D">
              <w:t>rate adjustment</w:t>
            </w:r>
            <w:r w:rsidR="000854FD">
              <w:t xml:space="preserve"> </w:t>
            </w:r>
            <w:r w:rsidR="00DF42CD">
              <w:t xml:space="preserve">based on changes in the parts of the utility's invested capital </w:t>
            </w:r>
            <w:r w:rsidR="000854FD">
              <w:t xml:space="preserve">that are functionalized as </w:t>
            </w:r>
            <w:r w:rsidR="000854FD" w:rsidRPr="000854FD">
              <w:t>distribution plant, distribution</w:t>
            </w:r>
            <w:r w:rsidR="00DC3132">
              <w:noBreakHyphen/>
            </w:r>
            <w:r w:rsidR="000854FD" w:rsidRPr="000854FD">
              <w:t>related intangible plant, and distribution-related communication equipment and networks</w:t>
            </w:r>
            <w:r w:rsidR="000854FD">
              <w:t xml:space="preserve">. </w:t>
            </w:r>
          </w:p>
          <w:p w14:paraId="52E618C6" w14:textId="77777777" w:rsidR="00FE4291" w:rsidRDefault="00FE4291" w:rsidP="009B2B33">
            <w:pPr>
              <w:pStyle w:val="Header"/>
              <w:tabs>
                <w:tab w:val="clear" w:pos="4320"/>
                <w:tab w:val="clear" w:pos="8640"/>
              </w:tabs>
              <w:jc w:val="both"/>
            </w:pPr>
          </w:p>
          <w:p w14:paraId="4C9B8835" w14:textId="1432CCE6" w:rsidR="00FE4291" w:rsidRDefault="00867A93" w:rsidP="009B2B33">
            <w:pPr>
              <w:pStyle w:val="Header"/>
              <w:tabs>
                <w:tab w:val="clear" w:pos="4320"/>
                <w:tab w:val="clear" w:pos="8640"/>
              </w:tabs>
              <w:jc w:val="both"/>
            </w:pPr>
            <w:r>
              <w:t xml:space="preserve">C.S.S.B. 1015 </w:t>
            </w:r>
            <w:r w:rsidR="003207F4">
              <w:t>authorize</w:t>
            </w:r>
            <w:r w:rsidR="0071564B">
              <w:t>s</w:t>
            </w:r>
            <w:r w:rsidR="003207F4">
              <w:t xml:space="preserve"> an </w:t>
            </w:r>
            <w:r w:rsidR="003207F4" w:rsidRPr="003207F4">
              <w:t xml:space="preserve">electric utility </w:t>
            </w:r>
            <w:r w:rsidR="00830F89">
              <w:t>to</w:t>
            </w:r>
            <w:r w:rsidR="003207F4" w:rsidRPr="003207F4">
              <w:t xml:space="preserve"> file a request for a periodic rate adjustment on any day on which the</w:t>
            </w:r>
            <w:r w:rsidR="00830F89">
              <w:t xml:space="preserve"> PUC </w:t>
            </w:r>
            <w:r w:rsidR="003207F4" w:rsidRPr="003207F4">
              <w:t>is open for business</w:t>
            </w:r>
            <w:r w:rsidR="00830F89">
              <w:t xml:space="preserve">, </w:t>
            </w:r>
            <w:r w:rsidRPr="00FE4291">
              <w:t>except that if the utility has a</w:t>
            </w:r>
            <w:r w:rsidRPr="00FE4291">
              <w:t xml:space="preserve"> base rate proceeding pending, the utility may not file the request before the 185th day after the date the base rate proceeding was initiated</w:t>
            </w:r>
            <w:r w:rsidR="00830F89">
              <w:t xml:space="preserve">. The bill authorizes the utility to revise </w:t>
            </w:r>
            <w:r w:rsidR="00830F89" w:rsidRPr="00830F89">
              <w:t>a request to reflect the final order issued in the base rate proceeding</w:t>
            </w:r>
            <w:r>
              <w:t xml:space="preserve"> and establishes that t</w:t>
            </w:r>
            <w:r w:rsidR="00830F89" w:rsidRPr="00830F89">
              <w:t xml:space="preserve">he fact that an electric utility has a base rate proceeding pending during </w:t>
            </w:r>
            <w:r w:rsidR="00830F89" w:rsidRPr="0000211B">
              <w:t>a</w:t>
            </w:r>
            <w:r w:rsidRPr="0000211B">
              <w:t xml:space="preserve"> </w:t>
            </w:r>
            <w:r w:rsidR="0010595F">
              <w:t>DCRF</w:t>
            </w:r>
            <w:r w:rsidR="00830F89" w:rsidRPr="0000211B">
              <w:t xml:space="preserve"> proceeding</w:t>
            </w:r>
            <w:r w:rsidR="00830F89" w:rsidRPr="00830F89">
              <w:t xml:space="preserve"> does not establish grounds for dismissal of either proceeding.</w:t>
            </w:r>
            <w:r w:rsidR="00830F89">
              <w:t xml:space="preserve"> </w:t>
            </w:r>
          </w:p>
          <w:p w14:paraId="63D9F63F" w14:textId="77777777" w:rsidR="00FE4291" w:rsidRDefault="00FE4291" w:rsidP="009B2B33">
            <w:pPr>
              <w:pStyle w:val="Header"/>
              <w:tabs>
                <w:tab w:val="clear" w:pos="4320"/>
                <w:tab w:val="clear" w:pos="8640"/>
              </w:tabs>
              <w:jc w:val="both"/>
            </w:pPr>
          </w:p>
          <w:p w14:paraId="5E2BC2B0" w14:textId="2E1263B8" w:rsidR="00E7241F" w:rsidRPr="0060277A" w:rsidRDefault="00867A93" w:rsidP="009B2B33">
            <w:pPr>
              <w:pStyle w:val="Header"/>
              <w:tabs>
                <w:tab w:val="clear" w:pos="4320"/>
                <w:tab w:val="clear" w:pos="8640"/>
              </w:tabs>
              <w:jc w:val="both"/>
            </w:pPr>
            <w:r>
              <w:t xml:space="preserve">C.S.S.B. 1015 removes the requirement </w:t>
            </w:r>
            <w:r w:rsidR="00BD1081">
              <w:t>for</w:t>
            </w:r>
            <w:r>
              <w:t xml:space="preserve"> the procedure for approv</w:t>
            </w:r>
            <w:r w:rsidR="00BD1081">
              <w:t>al</w:t>
            </w:r>
            <w:r>
              <w:t xml:space="preserve"> or de</w:t>
            </w:r>
            <w:r>
              <w:t>n</w:t>
            </w:r>
            <w:r w:rsidR="00BD1081">
              <w:t>ial of</w:t>
            </w:r>
            <w:r>
              <w:t xml:space="preserve"> a period rate adjustment to be </w:t>
            </w:r>
            <w:r w:rsidRPr="00DF42CD">
              <w:t>expedited</w:t>
            </w:r>
            <w:r w:rsidR="00BD1081" w:rsidRPr="00DF42CD">
              <w:t xml:space="preserve"> and extend for not less than 60 days. In</w:t>
            </w:r>
            <w:r w:rsidR="00BD1081">
              <w:t>stead, t</w:t>
            </w:r>
            <w:r w:rsidR="00830F89">
              <w:t xml:space="preserve">he bill requires the PUC to </w:t>
            </w:r>
            <w:r w:rsidR="004D0A71" w:rsidRPr="004D0A71">
              <w:t>enter a final order on a request for a periodic rate adjustment not later than the 60th day after the date the request is filed</w:t>
            </w:r>
            <w:r w:rsidR="00BD1081">
              <w:t xml:space="preserve"> but authorizes the PUC to</w:t>
            </w:r>
            <w:r w:rsidR="004D0A71" w:rsidRPr="004D0A71">
              <w:t xml:space="preserve"> extend the deadline for not more than 15 days for good cause.</w:t>
            </w:r>
            <w:r w:rsidR="004D0A71">
              <w:t xml:space="preserve"> </w:t>
            </w:r>
            <w:r w:rsidR="00BD1081">
              <w:t xml:space="preserve">The bill also removes the requirement for the procedure for approval or denial to provide for appropriate </w:t>
            </w:r>
            <w:r w:rsidR="00BD1081" w:rsidRPr="0060277A">
              <w:t>updates of information.</w:t>
            </w:r>
          </w:p>
          <w:p w14:paraId="7B85A818" w14:textId="77777777" w:rsidR="00E7241F" w:rsidRPr="0060277A" w:rsidRDefault="00E7241F" w:rsidP="009B2B33">
            <w:pPr>
              <w:pStyle w:val="Header"/>
              <w:tabs>
                <w:tab w:val="clear" w:pos="4320"/>
                <w:tab w:val="clear" w:pos="8640"/>
              </w:tabs>
              <w:jc w:val="both"/>
            </w:pPr>
          </w:p>
          <w:p w14:paraId="2CA9C290" w14:textId="3F640662" w:rsidR="00912BEE" w:rsidRDefault="00867A93" w:rsidP="009B2B33">
            <w:pPr>
              <w:pStyle w:val="Header"/>
              <w:tabs>
                <w:tab w:val="clear" w:pos="4320"/>
                <w:tab w:val="clear" w:pos="8640"/>
              </w:tabs>
              <w:jc w:val="both"/>
            </w:pPr>
            <w:r w:rsidRPr="0060277A">
              <w:t>C.S.S.B. 1015</w:t>
            </w:r>
            <w:r w:rsidR="004D0A71" w:rsidRPr="0060277A">
              <w:t xml:space="preserve"> </w:t>
            </w:r>
            <w:r w:rsidRPr="0060277A">
              <w:t xml:space="preserve">increases the </w:t>
            </w:r>
            <w:r w:rsidR="008605CC">
              <w:t>maximum</w:t>
            </w:r>
            <w:r w:rsidRPr="0060277A">
              <w:t xml:space="preserve"> number of times an electric utility may adjust </w:t>
            </w:r>
            <w:r w:rsidR="0060277A" w:rsidRPr="0060277A">
              <w:t xml:space="preserve">rates </w:t>
            </w:r>
            <w:r w:rsidRPr="0060277A">
              <w:t>annually from once to</w:t>
            </w:r>
            <w:r w:rsidR="0043447A" w:rsidRPr="0060277A">
              <w:t xml:space="preserve"> </w:t>
            </w:r>
            <w:r w:rsidRPr="0060277A">
              <w:t>twice and remove</w:t>
            </w:r>
            <w:r w:rsidR="00D63F41">
              <w:t>s</w:t>
            </w:r>
            <w:r w:rsidRPr="0060277A">
              <w:t xml:space="preserve"> the cap on the number of rate adjustments that may be made between comprehensive base rate proceedings.</w:t>
            </w:r>
            <w:r>
              <w:t xml:space="preserve"> </w:t>
            </w:r>
          </w:p>
          <w:p w14:paraId="565647AF" w14:textId="77777777" w:rsidR="00912BEE" w:rsidRDefault="00912BEE" w:rsidP="009B2B33">
            <w:pPr>
              <w:pStyle w:val="Header"/>
              <w:tabs>
                <w:tab w:val="clear" w:pos="4320"/>
                <w:tab w:val="clear" w:pos="8640"/>
              </w:tabs>
              <w:jc w:val="both"/>
            </w:pPr>
          </w:p>
          <w:p w14:paraId="43294A36" w14:textId="398708C8" w:rsidR="004D0A71" w:rsidRDefault="00867A93" w:rsidP="009B2B33">
            <w:pPr>
              <w:pStyle w:val="Header"/>
              <w:tabs>
                <w:tab w:val="clear" w:pos="4320"/>
                <w:tab w:val="clear" w:pos="8640"/>
              </w:tabs>
              <w:jc w:val="both"/>
            </w:pPr>
            <w:r>
              <w:t>C.S.S.B. 1015</w:t>
            </w:r>
            <w:r w:rsidR="00E7241F">
              <w:t xml:space="preserve"> applies only </w:t>
            </w:r>
            <w:r w:rsidR="00E7241F" w:rsidRPr="00E7241F">
              <w:t xml:space="preserve">to a proceeding before </w:t>
            </w:r>
            <w:r>
              <w:t>th</w:t>
            </w:r>
            <w:r>
              <w:t xml:space="preserve">e </w:t>
            </w:r>
            <w:r w:rsidR="00E7241F">
              <w:t>PUC</w:t>
            </w:r>
            <w:r w:rsidR="00E7241F" w:rsidRPr="00E7241F">
              <w:t xml:space="preserve"> or </w:t>
            </w:r>
            <w:r>
              <w:t>a municipal governing body</w:t>
            </w:r>
            <w:r w:rsidR="00E7241F" w:rsidRPr="00E7241F">
              <w:t xml:space="preserve"> that commences on or after the </w:t>
            </w:r>
            <w:r w:rsidR="00E7241F">
              <w:t xml:space="preserve">bill's </w:t>
            </w:r>
            <w:r w:rsidR="00E7241F" w:rsidRPr="00E7241F">
              <w:t>effective date</w:t>
            </w:r>
            <w:r w:rsidR="00E7241F">
              <w:t xml:space="preserve">. </w:t>
            </w:r>
            <w:r w:rsidR="00E7241F" w:rsidRPr="00E7241F">
              <w:t xml:space="preserve">A proceeding that commenced before the </w:t>
            </w:r>
            <w:r w:rsidR="00E7241F">
              <w:t xml:space="preserve">bill's </w:t>
            </w:r>
            <w:r w:rsidR="00E7241F" w:rsidRPr="00E7241F">
              <w:t>effective date is governed by the law in effect on the date the proceeding commenced, and that law is continued in effect for that purpose.</w:t>
            </w:r>
          </w:p>
          <w:p w14:paraId="6B0F899A" w14:textId="4E1ED9F9" w:rsidR="00E7241F" w:rsidRDefault="00E7241F" w:rsidP="009B2B33">
            <w:pPr>
              <w:pStyle w:val="Header"/>
              <w:tabs>
                <w:tab w:val="clear" w:pos="4320"/>
                <w:tab w:val="clear" w:pos="8640"/>
              </w:tabs>
              <w:jc w:val="both"/>
            </w:pPr>
          </w:p>
          <w:p w14:paraId="109CF735" w14:textId="0E9DC33B" w:rsidR="00E7241F" w:rsidRPr="009C36CD" w:rsidRDefault="00867A93" w:rsidP="009B2B33">
            <w:pPr>
              <w:pStyle w:val="Header"/>
              <w:tabs>
                <w:tab w:val="clear" w:pos="4320"/>
                <w:tab w:val="clear" w:pos="8640"/>
              </w:tabs>
              <w:jc w:val="both"/>
            </w:pPr>
            <w:r>
              <w:t xml:space="preserve">C.S.S.B. 1015 repeals </w:t>
            </w:r>
            <w:r w:rsidRPr="00E7241F">
              <w:t>Section 36.210(d-1), Utilities Code</w:t>
            </w:r>
            <w:r>
              <w:t xml:space="preserve">. </w:t>
            </w:r>
          </w:p>
          <w:p w14:paraId="7D629D75" w14:textId="77777777" w:rsidR="008423E4" w:rsidRPr="00835628" w:rsidRDefault="008423E4" w:rsidP="009B2B33">
            <w:pPr>
              <w:rPr>
                <w:b/>
              </w:rPr>
            </w:pPr>
          </w:p>
        </w:tc>
      </w:tr>
      <w:tr w:rsidR="00317429" w14:paraId="0E57CED2" w14:textId="77777777" w:rsidTr="00B87B8A">
        <w:tc>
          <w:tcPr>
            <w:tcW w:w="9360" w:type="dxa"/>
          </w:tcPr>
          <w:p w14:paraId="5E9517A5" w14:textId="77777777" w:rsidR="008423E4" w:rsidRPr="00A8133F" w:rsidRDefault="00867A93" w:rsidP="009B2B33">
            <w:pPr>
              <w:rPr>
                <w:b/>
              </w:rPr>
            </w:pPr>
            <w:r w:rsidRPr="009C1E9A">
              <w:rPr>
                <w:b/>
                <w:u w:val="single"/>
              </w:rPr>
              <w:t>EFFECTIVE DATE</w:t>
            </w:r>
            <w:r>
              <w:rPr>
                <w:b/>
              </w:rPr>
              <w:t xml:space="preserve"> </w:t>
            </w:r>
          </w:p>
          <w:p w14:paraId="18B8EC4F" w14:textId="77777777" w:rsidR="008423E4" w:rsidRDefault="008423E4" w:rsidP="009B2B33"/>
          <w:p w14:paraId="094E6499" w14:textId="0E082E01" w:rsidR="008423E4" w:rsidRPr="003624F2" w:rsidRDefault="00867A93" w:rsidP="009B2B33">
            <w:pPr>
              <w:pStyle w:val="Header"/>
              <w:tabs>
                <w:tab w:val="clear" w:pos="4320"/>
                <w:tab w:val="clear" w:pos="8640"/>
              </w:tabs>
              <w:jc w:val="both"/>
            </w:pPr>
            <w:r>
              <w:t>On passage, or, if the bill does not receive the necessary vote, September 1, 2023.</w:t>
            </w:r>
          </w:p>
          <w:p w14:paraId="1F760984" w14:textId="77777777" w:rsidR="008423E4" w:rsidRPr="00233FDB" w:rsidRDefault="008423E4" w:rsidP="009B2B33">
            <w:pPr>
              <w:rPr>
                <w:b/>
              </w:rPr>
            </w:pPr>
          </w:p>
        </w:tc>
      </w:tr>
      <w:tr w:rsidR="00317429" w14:paraId="682014AD" w14:textId="77777777" w:rsidTr="00B87B8A">
        <w:tc>
          <w:tcPr>
            <w:tcW w:w="9360" w:type="dxa"/>
          </w:tcPr>
          <w:p w14:paraId="698DA3AD" w14:textId="77777777" w:rsidR="000B735A" w:rsidRDefault="00867A93" w:rsidP="009B2B33">
            <w:pPr>
              <w:jc w:val="both"/>
              <w:rPr>
                <w:b/>
                <w:u w:val="single"/>
              </w:rPr>
            </w:pPr>
            <w:r>
              <w:rPr>
                <w:b/>
                <w:u w:val="single"/>
              </w:rPr>
              <w:t>COMPARISON OF SENATE ENGROSSED AND SUBSTITUTE</w:t>
            </w:r>
          </w:p>
          <w:p w14:paraId="641D566B" w14:textId="77777777" w:rsidR="00E7241F" w:rsidRDefault="00E7241F" w:rsidP="009B2B33">
            <w:pPr>
              <w:jc w:val="both"/>
              <w:rPr>
                <w:b/>
                <w:u w:val="single"/>
              </w:rPr>
            </w:pPr>
          </w:p>
          <w:p w14:paraId="5489310B" w14:textId="77777777" w:rsidR="005B685D" w:rsidRDefault="00867A93" w:rsidP="009B2B33">
            <w:pPr>
              <w:jc w:val="both"/>
            </w:pPr>
            <w:r>
              <w:t xml:space="preserve">While C.S.S.B. 1015 </w:t>
            </w:r>
            <w:r>
              <w:t>may differ from the engrossed in minor or nonsubstantive ways, the following summarizes the substantial differences between the engrossed and committee substitute versions of the bill.</w:t>
            </w:r>
          </w:p>
          <w:p w14:paraId="2E2B5B99" w14:textId="77777777" w:rsidR="005B685D" w:rsidRDefault="005B685D" w:rsidP="009B2B33">
            <w:pPr>
              <w:jc w:val="both"/>
            </w:pPr>
          </w:p>
          <w:p w14:paraId="5065C5F0" w14:textId="77777777" w:rsidR="005B685D" w:rsidRDefault="00867A93" w:rsidP="009B2B33">
            <w:pPr>
              <w:jc w:val="both"/>
            </w:pPr>
            <w:r>
              <w:t>The substitute retains in law the provision establishing that the stat</w:t>
            </w:r>
            <w:r>
              <w:t xml:space="preserve">utory provisions governing periodic rate adjustments are not intended to limit the jurisdiction of a municipality over the rates, operations, and services of an electric utility, whereas the engrossed removed this provision. </w:t>
            </w:r>
          </w:p>
          <w:p w14:paraId="6B675B5B" w14:textId="77777777" w:rsidR="005B685D" w:rsidRDefault="005B685D" w:rsidP="009B2B33">
            <w:pPr>
              <w:jc w:val="both"/>
            </w:pPr>
          </w:p>
          <w:p w14:paraId="4EAD443F" w14:textId="7728A3B9" w:rsidR="005B685D" w:rsidRPr="000B735A" w:rsidRDefault="00867A93" w:rsidP="009B2B33">
            <w:pPr>
              <w:jc w:val="both"/>
              <w:rPr>
                <w:b/>
                <w:u w:val="single"/>
              </w:rPr>
            </w:pPr>
            <w:r>
              <w:t>The engrossed and the substit</w:t>
            </w:r>
            <w:r>
              <w:t xml:space="preserve">ute each authorize an electric utility to file </w:t>
            </w:r>
            <w:r w:rsidRPr="009F1634">
              <w:t xml:space="preserve">a request for a periodic rate adjustment on any day on which the </w:t>
            </w:r>
            <w:r>
              <w:t>PUC</w:t>
            </w:r>
            <w:r w:rsidRPr="009F1634">
              <w:t xml:space="preserve"> is open for business</w:t>
            </w:r>
            <w:r>
              <w:t>. The substitute, however, includes provisions not in the engrossed excluding from this authorization a utility that has</w:t>
            </w:r>
            <w:r>
              <w:t xml:space="preserve"> a base rate proceeding pending and prohibiting such a utility from filing a rate adjustment</w:t>
            </w:r>
            <w:r w:rsidRPr="009F1634">
              <w:t xml:space="preserve"> request before the 185th day after the date </w:t>
            </w:r>
            <w:r>
              <w:t>the</w:t>
            </w:r>
            <w:r w:rsidRPr="009F1634">
              <w:t xml:space="preserve"> base rate proceeding was </w:t>
            </w:r>
            <w:r w:rsidRPr="006441A0">
              <w:t>initiated. The substitute includes an additional provision absent from the engrossed autho</w:t>
            </w:r>
            <w:r w:rsidRPr="006441A0">
              <w:t>rizing the utility to revise a request to reflect the final order issued in the base rate proceeding.</w:t>
            </w:r>
          </w:p>
        </w:tc>
      </w:tr>
    </w:tbl>
    <w:p w14:paraId="7B81F2C9" w14:textId="77777777" w:rsidR="008423E4" w:rsidRPr="00BE0E75" w:rsidRDefault="008423E4" w:rsidP="009B2B33">
      <w:pPr>
        <w:jc w:val="both"/>
        <w:rPr>
          <w:rFonts w:ascii="Arial" w:hAnsi="Arial"/>
          <w:sz w:val="16"/>
          <w:szCs w:val="16"/>
        </w:rPr>
      </w:pPr>
    </w:p>
    <w:p w14:paraId="434BF5AA" w14:textId="77777777" w:rsidR="004108C3" w:rsidRPr="008423E4" w:rsidRDefault="004108C3" w:rsidP="009B2B3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EDFA" w14:textId="77777777" w:rsidR="00000000" w:rsidRDefault="00867A93">
      <w:r>
        <w:separator/>
      </w:r>
    </w:p>
  </w:endnote>
  <w:endnote w:type="continuationSeparator" w:id="0">
    <w:p w14:paraId="1063B590" w14:textId="77777777" w:rsidR="00000000" w:rsidRDefault="0086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085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17429" w14:paraId="21B5C427" w14:textId="77777777" w:rsidTr="009C1E9A">
      <w:trPr>
        <w:cantSplit/>
      </w:trPr>
      <w:tc>
        <w:tcPr>
          <w:tcW w:w="0" w:type="pct"/>
        </w:tcPr>
        <w:p w14:paraId="1C23719B" w14:textId="77777777" w:rsidR="00137D90" w:rsidRDefault="00137D90" w:rsidP="009C1E9A">
          <w:pPr>
            <w:pStyle w:val="Footer"/>
            <w:tabs>
              <w:tab w:val="clear" w:pos="8640"/>
              <w:tab w:val="right" w:pos="9360"/>
            </w:tabs>
          </w:pPr>
        </w:p>
      </w:tc>
      <w:tc>
        <w:tcPr>
          <w:tcW w:w="2395" w:type="pct"/>
        </w:tcPr>
        <w:p w14:paraId="16CA0DBE" w14:textId="77777777" w:rsidR="00137D90" w:rsidRDefault="00137D90" w:rsidP="009C1E9A">
          <w:pPr>
            <w:pStyle w:val="Footer"/>
            <w:tabs>
              <w:tab w:val="clear" w:pos="8640"/>
              <w:tab w:val="right" w:pos="9360"/>
            </w:tabs>
          </w:pPr>
        </w:p>
        <w:p w14:paraId="607E01F8" w14:textId="77777777" w:rsidR="001A4310" w:rsidRDefault="001A4310" w:rsidP="009C1E9A">
          <w:pPr>
            <w:pStyle w:val="Footer"/>
            <w:tabs>
              <w:tab w:val="clear" w:pos="8640"/>
              <w:tab w:val="right" w:pos="9360"/>
            </w:tabs>
          </w:pPr>
        </w:p>
        <w:p w14:paraId="5D1E8007" w14:textId="77777777" w:rsidR="00137D90" w:rsidRDefault="00137D90" w:rsidP="009C1E9A">
          <w:pPr>
            <w:pStyle w:val="Footer"/>
            <w:tabs>
              <w:tab w:val="clear" w:pos="8640"/>
              <w:tab w:val="right" w:pos="9360"/>
            </w:tabs>
          </w:pPr>
        </w:p>
      </w:tc>
      <w:tc>
        <w:tcPr>
          <w:tcW w:w="2453" w:type="pct"/>
        </w:tcPr>
        <w:p w14:paraId="76226CD3" w14:textId="77777777" w:rsidR="00137D90" w:rsidRDefault="00137D90" w:rsidP="009C1E9A">
          <w:pPr>
            <w:pStyle w:val="Footer"/>
            <w:tabs>
              <w:tab w:val="clear" w:pos="8640"/>
              <w:tab w:val="right" w:pos="9360"/>
            </w:tabs>
            <w:jc w:val="right"/>
          </w:pPr>
        </w:p>
      </w:tc>
    </w:tr>
    <w:tr w:rsidR="00317429" w14:paraId="495B2FAF" w14:textId="77777777" w:rsidTr="009C1E9A">
      <w:trPr>
        <w:cantSplit/>
      </w:trPr>
      <w:tc>
        <w:tcPr>
          <w:tcW w:w="0" w:type="pct"/>
        </w:tcPr>
        <w:p w14:paraId="5532DC6A" w14:textId="77777777" w:rsidR="00EC379B" w:rsidRDefault="00EC379B" w:rsidP="009C1E9A">
          <w:pPr>
            <w:pStyle w:val="Footer"/>
            <w:tabs>
              <w:tab w:val="clear" w:pos="8640"/>
              <w:tab w:val="right" w:pos="9360"/>
            </w:tabs>
          </w:pPr>
        </w:p>
      </w:tc>
      <w:tc>
        <w:tcPr>
          <w:tcW w:w="2395" w:type="pct"/>
        </w:tcPr>
        <w:p w14:paraId="1B3EBCF4" w14:textId="3E4D0665" w:rsidR="00EC379B" w:rsidRPr="009C1E9A" w:rsidRDefault="00867A93" w:rsidP="009C1E9A">
          <w:pPr>
            <w:pStyle w:val="Footer"/>
            <w:tabs>
              <w:tab w:val="clear" w:pos="8640"/>
              <w:tab w:val="right" w:pos="9360"/>
            </w:tabs>
            <w:rPr>
              <w:rFonts w:ascii="Shruti" w:hAnsi="Shruti"/>
              <w:sz w:val="22"/>
            </w:rPr>
          </w:pPr>
          <w:r>
            <w:rPr>
              <w:rFonts w:ascii="Shruti" w:hAnsi="Shruti"/>
              <w:sz w:val="22"/>
            </w:rPr>
            <w:t>88R 30890-D</w:t>
          </w:r>
        </w:p>
      </w:tc>
      <w:tc>
        <w:tcPr>
          <w:tcW w:w="2453" w:type="pct"/>
        </w:tcPr>
        <w:p w14:paraId="50E3AC70" w14:textId="6E8A10E5" w:rsidR="00EC379B" w:rsidRDefault="00867A93" w:rsidP="009C1E9A">
          <w:pPr>
            <w:pStyle w:val="Footer"/>
            <w:tabs>
              <w:tab w:val="clear" w:pos="8640"/>
              <w:tab w:val="right" w:pos="9360"/>
            </w:tabs>
            <w:jc w:val="right"/>
          </w:pPr>
          <w:r>
            <w:fldChar w:fldCharType="begin"/>
          </w:r>
          <w:r>
            <w:instrText xml:space="preserve"> DOCPROPERTY  OTID  \* MERGEFORMAT </w:instrText>
          </w:r>
          <w:r>
            <w:fldChar w:fldCharType="separate"/>
          </w:r>
          <w:r w:rsidR="0023337D">
            <w:t>23.137.134</w:t>
          </w:r>
          <w:r>
            <w:fldChar w:fldCharType="end"/>
          </w:r>
        </w:p>
      </w:tc>
    </w:tr>
    <w:tr w:rsidR="00317429" w14:paraId="7B5E358F" w14:textId="77777777" w:rsidTr="009C1E9A">
      <w:trPr>
        <w:cantSplit/>
      </w:trPr>
      <w:tc>
        <w:tcPr>
          <w:tcW w:w="0" w:type="pct"/>
        </w:tcPr>
        <w:p w14:paraId="4A413519" w14:textId="77777777" w:rsidR="00EC379B" w:rsidRDefault="00EC379B" w:rsidP="009C1E9A">
          <w:pPr>
            <w:pStyle w:val="Footer"/>
            <w:tabs>
              <w:tab w:val="clear" w:pos="4320"/>
              <w:tab w:val="clear" w:pos="8640"/>
              <w:tab w:val="left" w:pos="2865"/>
            </w:tabs>
          </w:pPr>
        </w:p>
      </w:tc>
      <w:tc>
        <w:tcPr>
          <w:tcW w:w="2395" w:type="pct"/>
        </w:tcPr>
        <w:p w14:paraId="429EE8D5" w14:textId="2A9E09A1" w:rsidR="00EC379B" w:rsidRPr="009C1E9A" w:rsidRDefault="00867A93" w:rsidP="009C1E9A">
          <w:pPr>
            <w:pStyle w:val="Footer"/>
            <w:tabs>
              <w:tab w:val="clear" w:pos="4320"/>
              <w:tab w:val="clear" w:pos="8640"/>
              <w:tab w:val="left" w:pos="2865"/>
            </w:tabs>
            <w:rPr>
              <w:rFonts w:ascii="Shruti" w:hAnsi="Shruti"/>
              <w:sz w:val="22"/>
            </w:rPr>
          </w:pPr>
          <w:r>
            <w:rPr>
              <w:rFonts w:ascii="Shruti" w:hAnsi="Shruti"/>
              <w:sz w:val="22"/>
            </w:rPr>
            <w:t>Substitute Document Number: 88R 27576</w:t>
          </w:r>
        </w:p>
      </w:tc>
      <w:tc>
        <w:tcPr>
          <w:tcW w:w="2453" w:type="pct"/>
        </w:tcPr>
        <w:p w14:paraId="65570AAB" w14:textId="77777777" w:rsidR="00EC379B" w:rsidRDefault="00EC379B" w:rsidP="006D504F">
          <w:pPr>
            <w:pStyle w:val="Footer"/>
            <w:rPr>
              <w:rStyle w:val="PageNumber"/>
            </w:rPr>
          </w:pPr>
        </w:p>
        <w:p w14:paraId="57413369" w14:textId="77777777" w:rsidR="00EC379B" w:rsidRDefault="00EC379B" w:rsidP="009C1E9A">
          <w:pPr>
            <w:pStyle w:val="Footer"/>
            <w:tabs>
              <w:tab w:val="clear" w:pos="8640"/>
              <w:tab w:val="right" w:pos="9360"/>
            </w:tabs>
            <w:jc w:val="right"/>
          </w:pPr>
        </w:p>
      </w:tc>
    </w:tr>
    <w:tr w:rsidR="00317429" w14:paraId="33292EC6" w14:textId="77777777" w:rsidTr="009C1E9A">
      <w:trPr>
        <w:cantSplit/>
        <w:trHeight w:val="323"/>
      </w:trPr>
      <w:tc>
        <w:tcPr>
          <w:tcW w:w="0" w:type="pct"/>
          <w:gridSpan w:val="3"/>
        </w:tcPr>
        <w:p w14:paraId="683996CC" w14:textId="77777777" w:rsidR="00EC379B" w:rsidRDefault="00867A9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45B0706" w14:textId="77777777" w:rsidR="00EC379B" w:rsidRDefault="00EC379B" w:rsidP="009C1E9A">
          <w:pPr>
            <w:pStyle w:val="Footer"/>
            <w:tabs>
              <w:tab w:val="clear" w:pos="8640"/>
              <w:tab w:val="right" w:pos="9360"/>
            </w:tabs>
            <w:jc w:val="center"/>
          </w:pPr>
        </w:p>
      </w:tc>
    </w:tr>
  </w:tbl>
  <w:p w14:paraId="4DF4213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8CE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D67E" w14:textId="77777777" w:rsidR="00000000" w:rsidRDefault="00867A93">
      <w:r>
        <w:separator/>
      </w:r>
    </w:p>
  </w:footnote>
  <w:footnote w:type="continuationSeparator" w:id="0">
    <w:p w14:paraId="3C72A4D9" w14:textId="77777777" w:rsidR="00000000" w:rsidRDefault="0086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444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BA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7E4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25D9"/>
    <w:multiLevelType w:val="hybridMultilevel"/>
    <w:tmpl w:val="68505B8E"/>
    <w:lvl w:ilvl="0" w:tplc="DFAA16FA">
      <w:start w:val="1"/>
      <w:numFmt w:val="bullet"/>
      <w:lvlText w:val=""/>
      <w:lvlJc w:val="left"/>
      <w:pPr>
        <w:tabs>
          <w:tab w:val="num" w:pos="720"/>
        </w:tabs>
        <w:ind w:left="720" w:hanging="360"/>
      </w:pPr>
      <w:rPr>
        <w:rFonts w:ascii="Symbol" w:hAnsi="Symbol" w:hint="default"/>
      </w:rPr>
    </w:lvl>
    <w:lvl w:ilvl="1" w:tplc="E354AA60" w:tentative="1">
      <w:start w:val="1"/>
      <w:numFmt w:val="bullet"/>
      <w:lvlText w:val="o"/>
      <w:lvlJc w:val="left"/>
      <w:pPr>
        <w:ind w:left="1440" w:hanging="360"/>
      </w:pPr>
      <w:rPr>
        <w:rFonts w:ascii="Courier New" w:hAnsi="Courier New" w:cs="Courier New" w:hint="default"/>
      </w:rPr>
    </w:lvl>
    <w:lvl w:ilvl="2" w:tplc="B0842B42" w:tentative="1">
      <w:start w:val="1"/>
      <w:numFmt w:val="bullet"/>
      <w:lvlText w:val=""/>
      <w:lvlJc w:val="left"/>
      <w:pPr>
        <w:ind w:left="2160" w:hanging="360"/>
      </w:pPr>
      <w:rPr>
        <w:rFonts w:ascii="Wingdings" w:hAnsi="Wingdings" w:hint="default"/>
      </w:rPr>
    </w:lvl>
    <w:lvl w:ilvl="3" w:tplc="D11CB528" w:tentative="1">
      <w:start w:val="1"/>
      <w:numFmt w:val="bullet"/>
      <w:lvlText w:val=""/>
      <w:lvlJc w:val="left"/>
      <w:pPr>
        <w:ind w:left="2880" w:hanging="360"/>
      </w:pPr>
      <w:rPr>
        <w:rFonts w:ascii="Symbol" w:hAnsi="Symbol" w:hint="default"/>
      </w:rPr>
    </w:lvl>
    <w:lvl w:ilvl="4" w:tplc="45BE104E" w:tentative="1">
      <w:start w:val="1"/>
      <w:numFmt w:val="bullet"/>
      <w:lvlText w:val="o"/>
      <w:lvlJc w:val="left"/>
      <w:pPr>
        <w:ind w:left="3600" w:hanging="360"/>
      </w:pPr>
      <w:rPr>
        <w:rFonts w:ascii="Courier New" w:hAnsi="Courier New" w:cs="Courier New" w:hint="default"/>
      </w:rPr>
    </w:lvl>
    <w:lvl w:ilvl="5" w:tplc="FF8E7CFA" w:tentative="1">
      <w:start w:val="1"/>
      <w:numFmt w:val="bullet"/>
      <w:lvlText w:val=""/>
      <w:lvlJc w:val="left"/>
      <w:pPr>
        <w:ind w:left="4320" w:hanging="360"/>
      </w:pPr>
      <w:rPr>
        <w:rFonts w:ascii="Wingdings" w:hAnsi="Wingdings" w:hint="default"/>
      </w:rPr>
    </w:lvl>
    <w:lvl w:ilvl="6" w:tplc="14B81F5E" w:tentative="1">
      <w:start w:val="1"/>
      <w:numFmt w:val="bullet"/>
      <w:lvlText w:val=""/>
      <w:lvlJc w:val="left"/>
      <w:pPr>
        <w:ind w:left="5040" w:hanging="360"/>
      </w:pPr>
      <w:rPr>
        <w:rFonts w:ascii="Symbol" w:hAnsi="Symbol" w:hint="default"/>
      </w:rPr>
    </w:lvl>
    <w:lvl w:ilvl="7" w:tplc="C90C574C" w:tentative="1">
      <w:start w:val="1"/>
      <w:numFmt w:val="bullet"/>
      <w:lvlText w:val="o"/>
      <w:lvlJc w:val="left"/>
      <w:pPr>
        <w:ind w:left="5760" w:hanging="360"/>
      </w:pPr>
      <w:rPr>
        <w:rFonts w:ascii="Courier New" w:hAnsi="Courier New" w:cs="Courier New" w:hint="default"/>
      </w:rPr>
    </w:lvl>
    <w:lvl w:ilvl="8" w:tplc="66D8E8AC" w:tentative="1">
      <w:start w:val="1"/>
      <w:numFmt w:val="bullet"/>
      <w:lvlText w:val=""/>
      <w:lvlJc w:val="left"/>
      <w:pPr>
        <w:ind w:left="6480" w:hanging="360"/>
      </w:pPr>
      <w:rPr>
        <w:rFonts w:ascii="Wingdings" w:hAnsi="Wingdings" w:hint="default"/>
      </w:rPr>
    </w:lvl>
  </w:abstractNum>
  <w:abstractNum w:abstractNumId="1" w15:restartNumberingAfterBreak="0">
    <w:nsid w:val="336030BD"/>
    <w:multiLevelType w:val="hybridMultilevel"/>
    <w:tmpl w:val="F954B15E"/>
    <w:lvl w:ilvl="0" w:tplc="6DFA6BE8">
      <w:start w:val="1"/>
      <w:numFmt w:val="bullet"/>
      <w:lvlText w:val=""/>
      <w:lvlJc w:val="left"/>
      <w:pPr>
        <w:tabs>
          <w:tab w:val="num" w:pos="720"/>
        </w:tabs>
        <w:ind w:left="720" w:hanging="360"/>
      </w:pPr>
      <w:rPr>
        <w:rFonts w:ascii="Symbol" w:hAnsi="Symbol" w:hint="default"/>
      </w:rPr>
    </w:lvl>
    <w:lvl w:ilvl="1" w:tplc="337ED264" w:tentative="1">
      <w:start w:val="1"/>
      <w:numFmt w:val="bullet"/>
      <w:lvlText w:val="o"/>
      <w:lvlJc w:val="left"/>
      <w:pPr>
        <w:ind w:left="1440" w:hanging="360"/>
      </w:pPr>
      <w:rPr>
        <w:rFonts w:ascii="Courier New" w:hAnsi="Courier New" w:cs="Courier New" w:hint="default"/>
      </w:rPr>
    </w:lvl>
    <w:lvl w:ilvl="2" w:tplc="BBA2E6EA" w:tentative="1">
      <w:start w:val="1"/>
      <w:numFmt w:val="bullet"/>
      <w:lvlText w:val=""/>
      <w:lvlJc w:val="left"/>
      <w:pPr>
        <w:ind w:left="2160" w:hanging="360"/>
      </w:pPr>
      <w:rPr>
        <w:rFonts w:ascii="Wingdings" w:hAnsi="Wingdings" w:hint="default"/>
      </w:rPr>
    </w:lvl>
    <w:lvl w:ilvl="3" w:tplc="386E2218" w:tentative="1">
      <w:start w:val="1"/>
      <w:numFmt w:val="bullet"/>
      <w:lvlText w:val=""/>
      <w:lvlJc w:val="left"/>
      <w:pPr>
        <w:ind w:left="2880" w:hanging="360"/>
      </w:pPr>
      <w:rPr>
        <w:rFonts w:ascii="Symbol" w:hAnsi="Symbol" w:hint="default"/>
      </w:rPr>
    </w:lvl>
    <w:lvl w:ilvl="4" w:tplc="7514EECE" w:tentative="1">
      <w:start w:val="1"/>
      <w:numFmt w:val="bullet"/>
      <w:lvlText w:val="o"/>
      <w:lvlJc w:val="left"/>
      <w:pPr>
        <w:ind w:left="3600" w:hanging="360"/>
      </w:pPr>
      <w:rPr>
        <w:rFonts w:ascii="Courier New" w:hAnsi="Courier New" w:cs="Courier New" w:hint="default"/>
      </w:rPr>
    </w:lvl>
    <w:lvl w:ilvl="5" w:tplc="00283F0C" w:tentative="1">
      <w:start w:val="1"/>
      <w:numFmt w:val="bullet"/>
      <w:lvlText w:val=""/>
      <w:lvlJc w:val="left"/>
      <w:pPr>
        <w:ind w:left="4320" w:hanging="360"/>
      </w:pPr>
      <w:rPr>
        <w:rFonts w:ascii="Wingdings" w:hAnsi="Wingdings" w:hint="default"/>
      </w:rPr>
    </w:lvl>
    <w:lvl w:ilvl="6" w:tplc="2C0653A2" w:tentative="1">
      <w:start w:val="1"/>
      <w:numFmt w:val="bullet"/>
      <w:lvlText w:val=""/>
      <w:lvlJc w:val="left"/>
      <w:pPr>
        <w:ind w:left="5040" w:hanging="360"/>
      </w:pPr>
      <w:rPr>
        <w:rFonts w:ascii="Symbol" w:hAnsi="Symbol" w:hint="default"/>
      </w:rPr>
    </w:lvl>
    <w:lvl w:ilvl="7" w:tplc="0518C954" w:tentative="1">
      <w:start w:val="1"/>
      <w:numFmt w:val="bullet"/>
      <w:lvlText w:val="o"/>
      <w:lvlJc w:val="left"/>
      <w:pPr>
        <w:ind w:left="5760" w:hanging="360"/>
      </w:pPr>
      <w:rPr>
        <w:rFonts w:ascii="Courier New" w:hAnsi="Courier New" w:cs="Courier New" w:hint="default"/>
      </w:rPr>
    </w:lvl>
    <w:lvl w:ilvl="8" w:tplc="5A0A944A" w:tentative="1">
      <w:start w:val="1"/>
      <w:numFmt w:val="bullet"/>
      <w:lvlText w:val=""/>
      <w:lvlJc w:val="left"/>
      <w:pPr>
        <w:ind w:left="6480" w:hanging="360"/>
      </w:pPr>
      <w:rPr>
        <w:rFonts w:ascii="Wingdings" w:hAnsi="Wingdings" w:hint="default"/>
      </w:rPr>
    </w:lvl>
  </w:abstractNum>
  <w:num w:numId="1" w16cid:durableId="564603276">
    <w:abstractNumId w:val="1"/>
  </w:num>
  <w:num w:numId="2" w16cid:durableId="55289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2F"/>
    <w:rsid w:val="00000A70"/>
    <w:rsid w:val="0000211B"/>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0E7"/>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4FD"/>
    <w:rsid w:val="00090E6B"/>
    <w:rsid w:val="00091B2C"/>
    <w:rsid w:val="00092506"/>
    <w:rsid w:val="00092ABC"/>
    <w:rsid w:val="00097AAF"/>
    <w:rsid w:val="00097D13"/>
    <w:rsid w:val="000A4893"/>
    <w:rsid w:val="000A54E0"/>
    <w:rsid w:val="000A72C4"/>
    <w:rsid w:val="000B0F30"/>
    <w:rsid w:val="000B1486"/>
    <w:rsid w:val="000B3E61"/>
    <w:rsid w:val="000B54AF"/>
    <w:rsid w:val="000B6090"/>
    <w:rsid w:val="000B6FEE"/>
    <w:rsid w:val="000B735A"/>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0595F"/>
    <w:rsid w:val="00110F8C"/>
    <w:rsid w:val="0011274A"/>
    <w:rsid w:val="00113522"/>
    <w:rsid w:val="0011378D"/>
    <w:rsid w:val="00115EE9"/>
    <w:rsid w:val="001169F9"/>
    <w:rsid w:val="00120797"/>
    <w:rsid w:val="00120AB0"/>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57898"/>
    <w:rsid w:val="00160402"/>
    <w:rsid w:val="00160571"/>
    <w:rsid w:val="00161E93"/>
    <w:rsid w:val="00162421"/>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65E6"/>
    <w:rsid w:val="002304DF"/>
    <w:rsid w:val="0023337D"/>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88F"/>
    <w:rsid w:val="002E21B8"/>
    <w:rsid w:val="002E7DF9"/>
    <w:rsid w:val="002F097B"/>
    <w:rsid w:val="002F2147"/>
    <w:rsid w:val="002F29BC"/>
    <w:rsid w:val="002F3111"/>
    <w:rsid w:val="002F4AEC"/>
    <w:rsid w:val="002F795D"/>
    <w:rsid w:val="00300823"/>
    <w:rsid w:val="00300D7F"/>
    <w:rsid w:val="00301638"/>
    <w:rsid w:val="00303B0C"/>
    <w:rsid w:val="0030459C"/>
    <w:rsid w:val="00313DFE"/>
    <w:rsid w:val="003143B2"/>
    <w:rsid w:val="00314821"/>
    <w:rsid w:val="0031483F"/>
    <w:rsid w:val="0031741B"/>
    <w:rsid w:val="00317429"/>
    <w:rsid w:val="003207F4"/>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386"/>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73A"/>
    <w:rsid w:val="0043447A"/>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0A71"/>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0F3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527"/>
    <w:rsid w:val="00590894"/>
    <w:rsid w:val="00592C9A"/>
    <w:rsid w:val="00593DF8"/>
    <w:rsid w:val="00595745"/>
    <w:rsid w:val="005A0E18"/>
    <w:rsid w:val="005A12A5"/>
    <w:rsid w:val="005A3790"/>
    <w:rsid w:val="005A3CCB"/>
    <w:rsid w:val="005A6D13"/>
    <w:rsid w:val="005B031F"/>
    <w:rsid w:val="005B3298"/>
    <w:rsid w:val="005B3C13"/>
    <w:rsid w:val="005B5516"/>
    <w:rsid w:val="005B5D2B"/>
    <w:rsid w:val="005B685D"/>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277A"/>
    <w:rsid w:val="00603B0F"/>
    <w:rsid w:val="006049F5"/>
    <w:rsid w:val="00605F7B"/>
    <w:rsid w:val="00607E64"/>
    <w:rsid w:val="006106E9"/>
    <w:rsid w:val="0061159E"/>
    <w:rsid w:val="00614633"/>
    <w:rsid w:val="00614BC8"/>
    <w:rsid w:val="006151FB"/>
    <w:rsid w:val="00617411"/>
    <w:rsid w:val="006249CB"/>
    <w:rsid w:val="00626C96"/>
    <w:rsid w:val="006272DD"/>
    <w:rsid w:val="00630963"/>
    <w:rsid w:val="00631897"/>
    <w:rsid w:val="00632928"/>
    <w:rsid w:val="006330DA"/>
    <w:rsid w:val="00633262"/>
    <w:rsid w:val="00633460"/>
    <w:rsid w:val="006402E7"/>
    <w:rsid w:val="00640CB6"/>
    <w:rsid w:val="00641B42"/>
    <w:rsid w:val="006441A0"/>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ADE"/>
    <w:rsid w:val="006B129D"/>
    <w:rsid w:val="006B12AE"/>
    <w:rsid w:val="006B16B3"/>
    <w:rsid w:val="006B1918"/>
    <w:rsid w:val="006B233E"/>
    <w:rsid w:val="006B23D8"/>
    <w:rsid w:val="006B28D5"/>
    <w:rsid w:val="006B2A01"/>
    <w:rsid w:val="006B2B8C"/>
    <w:rsid w:val="006B2DEB"/>
    <w:rsid w:val="006B54C5"/>
    <w:rsid w:val="006B5E80"/>
    <w:rsid w:val="006B7A2E"/>
    <w:rsid w:val="006C33F8"/>
    <w:rsid w:val="006C4709"/>
    <w:rsid w:val="006D09B2"/>
    <w:rsid w:val="006D3005"/>
    <w:rsid w:val="006D504F"/>
    <w:rsid w:val="006E0CAC"/>
    <w:rsid w:val="006E1CFB"/>
    <w:rsid w:val="006E1F94"/>
    <w:rsid w:val="006E26C1"/>
    <w:rsid w:val="006E30A8"/>
    <w:rsid w:val="006E45B0"/>
    <w:rsid w:val="006E5692"/>
    <w:rsid w:val="006F365D"/>
    <w:rsid w:val="006F4BB0"/>
    <w:rsid w:val="006F56C7"/>
    <w:rsid w:val="007031BD"/>
    <w:rsid w:val="00703E80"/>
    <w:rsid w:val="00705276"/>
    <w:rsid w:val="007066A0"/>
    <w:rsid w:val="007075FB"/>
    <w:rsid w:val="0070787B"/>
    <w:rsid w:val="0071131D"/>
    <w:rsid w:val="00711E3D"/>
    <w:rsid w:val="00711E85"/>
    <w:rsid w:val="00712DDA"/>
    <w:rsid w:val="0071564B"/>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B39"/>
    <w:rsid w:val="00766E12"/>
    <w:rsid w:val="0077098E"/>
    <w:rsid w:val="00771287"/>
    <w:rsid w:val="0077149E"/>
    <w:rsid w:val="00772F6A"/>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C2B"/>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0F89"/>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05CC"/>
    <w:rsid w:val="008618E7"/>
    <w:rsid w:val="00861995"/>
    <w:rsid w:val="0086231A"/>
    <w:rsid w:val="0086477C"/>
    <w:rsid w:val="00864BAD"/>
    <w:rsid w:val="00866F9D"/>
    <w:rsid w:val="008673D9"/>
    <w:rsid w:val="00867A93"/>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B0D"/>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135"/>
    <w:rsid w:val="00902212"/>
    <w:rsid w:val="00903E0A"/>
    <w:rsid w:val="00904721"/>
    <w:rsid w:val="00907780"/>
    <w:rsid w:val="00907EDD"/>
    <w:rsid w:val="009107AD"/>
    <w:rsid w:val="00912BEE"/>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67258"/>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2B33"/>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CD1"/>
    <w:rsid w:val="009D37C7"/>
    <w:rsid w:val="009D4BBD"/>
    <w:rsid w:val="009D5A41"/>
    <w:rsid w:val="009E13BF"/>
    <w:rsid w:val="009E3631"/>
    <w:rsid w:val="009E3EB9"/>
    <w:rsid w:val="009E69C2"/>
    <w:rsid w:val="009E70AF"/>
    <w:rsid w:val="009E7AEB"/>
    <w:rsid w:val="009F1634"/>
    <w:rsid w:val="009F1B37"/>
    <w:rsid w:val="009F2E41"/>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6E1A"/>
    <w:rsid w:val="00A572B1"/>
    <w:rsid w:val="00A577AF"/>
    <w:rsid w:val="00A60177"/>
    <w:rsid w:val="00A61C27"/>
    <w:rsid w:val="00A62638"/>
    <w:rsid w:val="00A6344D"/>
    <w:rsid w:val="00A63A3B"/>
    <w:rsid w:val="00A644B8"/>
    <w:rsid w:val="00A70E35"/>
    <w:rsid w:val="00A720DC"/>
    <w:rsid w:val="00A803CF"/>
    <w:rsid w:val="00A8133F"/>
    <w:rsid w:val="00A82CB4"/>
    <w:rsid w:val="00A837A8"/>
    <w:rsid w:val="00A83C36"/>
    <w:rsid w:val="00A932BB"/>
    <w:rsid w:val="00A93579"/>
    <w:rsid w:val="00A93934"/>
    <w:rsid w:val="00A95957"/>
    <w:rsid w:val="00A95D51"/>
    <w:rsid w:val="00AA18AE"/>
    <w:rsid w:val="00AA228B"/>
    <w:rsid w:val="00AA597A"/>
    <w:rsid w:val="00AA66AD"/>
    <w:rsid w:val="00AA67A3"/>
    <w:rsid w:val="00AA7E52"/>
    <w:rsid w:val="00AB1655"/>
    <w:rsid w:val="00AB1873"/>
    <w:rsid w:val="00AB2C05"/>
    <w:rsid w:val="00AB3536"/>
    <w:rsid w:val="00AB474B"/>
    <w:rsid w:val="00AB5284"/>
    <w:rsid w:val="00AB5CCC"/>
    <w:rsid w:val="00AB74E2"/>
    <w:rsid w:val="00AC2E9A"/>
    <w:rsid w:val="00AC5AAB"/>
    <w:rsid w:val="00AC5AEC"/>
    <w:rsid w:val="00AC5F28"/>
    <w:rsid w:val="00AC6900"/>
    <w:rsid w:val="00AD304B"/>
    <w:rsid w:val="00AD3964"/>
    <w:rsid w:val="00AD4497"/>
    <w:rsid w:val="00AD7780"/>
    <w:rsid w:val="00AE2263"/>
    <w:rsid w:val="00AE248E"/>
    <w:rsid w:val="00AE2D12"/>
    <w:rsid w:val="00AE2F06"/>
    <w:rsid w:val="00AE4F1C"/>
    <w:rsid w:val="00AF1433"/>
    <w:rsid w:val="00AF48B4"/>
    <w:rsid w:val="00AF4923"/>
    <w:rsid w:val="00AF4AD7"/>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4AB3"/>
    <w:rsid w:val="00B65695"/>
    <w:rsid w:val="00B66526"/>
    <w:rsid w:val="00B665A3"/>
    <w:rsid w:val="00B73BB4"/>
    <w:rsid w:val="00B749E0"/>
    <w:rsid w:val="00B80532"/>
    <w:rsid w:val="00B82039"/>
    <w:rsid w:val="00B82454"/>
    <w:rsid w:val="00B87B8A"/>
    <w:rsid w:val="00B90097"/>
    <w:rsid w:val="00B90999"/>
    <w:rsid w:val="00B91AD7"/>
    <w:rsid w:val="00B92D23"/>
    <w:rsid w:val="00B95BC8"/>
    <w:rsid w:val="00B96E87"/>
    <w:rsid w:val="00BA146A"/>
    <w:rsid w:val="00BA2322"/>
    <w:rsid w:val="00BA32EE"/>
    <w:rsid w:val="00BB5B36"/>
    <w:rsid w:val="00BC027B"/>
    <w:rsid w:val="00BC30A6"/>
    <w:rsid w:val="00BC3ED3"/>
    <w:rsid w:val="00BC3EF6"/>
    <w:rsid w:val="00BC4E34"/>
    <w:rsid w:val="00BC51D0"/>
    <w:rsid w:val="00BC5633"/>
    <w:rsid w:val="00BC58E1"/>
    <w:rsid w:val="00BC59CA"/>
    <w:rsid w:val="00BC6462"/>
    <w:rsid w:val="00BD0A32"/>
    <w:rsid w:val="00BD1081"/>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015"/>
    <w:rsid w:val="00CE549D"/>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036"/>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3F41"/>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132"/>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4B83"/>
    <w:rsid w:val="00DE618B"/>
    <w:rsid w:val="00DE6EC2"/>
    <w:rsid w:val="00DF0834"/>
    <w:rsid w:val="00DF0873"/>
    <w:rsid w:val="00DF2707"/>
    <w:rsid w:val="00DF42CD"/>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45E2F"/>
    <w:rsid w:val="00E500F1"/>
    <w:rsid w:val="00E51446"/>
    <w:rsid w:val="00E529C8"/>
    <w:rsid w:val="00E55DA0"/>
    <w:rsid w:val="00E56033"/>
    <w:rsid w:val="00E61159"/>
    <w:rsid w:val="00E625DA"/>
    <w:rsid w:val="00E634DC"/>
    <w:rsid w:val="00E667F3"/>
    <w:rsid w:val="00E67794"/>
    <w:rsid w:val="00E70CC6"/>
    <w:rsid w:val="00E71254"/>
    <w:rsid w:val="00E7241F"/>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153"/>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2BF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2A07"/>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463"/>
    <w:rsid w:val="00FA32FC"/>
    <w:rsid w:val="00FA59FD"/>
    <w:rsid w:val="00FA5D8C"/>
    <w:rsid w:val="00FA6403"/>
    <w:rsid w:val="00FB16CD"/>
    <w:rsid w:val="00FB73AE"/>
    <w:rsid w:val="00FC5388"/>
    <w:rsid w:val="00FC726C"/>
    <w:rsid w:val="00FD1B4B"/>
    <w:rsid w:val="00FD1B94"/>
    <w:rsid w:val="00FE19C5"/>
    <w:rsid w:val="00FE4286"/>
    <w:rsid w:val="00FE4291"/>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5ACD29-6322-40B0-9B01-01190B2C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830F89"/>
    <w:rPr>
      <w:sz w:val="16"/>
      <w:szCs w:val="16"/>
    </w:rPr>
  </w:style>
  <w:style w:type="paragraph" w:styleId="CommentText">
    <w:name w:val="annotation text"/>
    <w:basedOn w:val="Normal"/>
    <w:link w:val="CommentTextChar"/>
    <w:semiHidden/>
    <w:unhideWhenUsed/>
    <w:rsid w:val="00830F89"/>
    <w:rPr>
      <w:sz w:val="20"/>
      <w:szCs w:val="20"/>
    </w:rPr>
  </w:style>
  <w:style w:type="character" w:customStyle="1" w:styleId="CommentTextChar">
    <w:name w:val="Comment Text Char"/>
    <w:basedOn w:val="DefaultParagraphFont"/>
    <w:link w:val="CommentText"/>
    <w:semiHidden/>
    <w:rsid w:val="00830F89"/>
  </w:style>
  <w:style w:type="paragraph" w:styleId="CommentSubject">
    <w:name w:val="annotation subject"/>
    <w:basedOn w:val="CommentText"/>
    <w:next w:val="CommentText"/>
    <w:link w:val="CommentSubjectChar"/>
    <w:semiHidden/>
    <w:unhideWhenUsed/>
    <w:rsid w:val="00830F89"/>
    <w:rPr>
      <w:b/>
      <w:bCs/>
    </w:rPr>
  </w:style>
  <w:style w:type="character" w:customStyle="1" w:styleId="CommentSubjectChar">
    <w:name w:val="Comment Subject Char"/>
    <w:basedOn w:val="CommentTextChar"/>
    <w:link w:val="CommentSubject"/>
    <w:semiHidden/>
    <w:rsid w:val="00830F89"/>
    <w:rPr>
      <w:b/>
      <w:bCs/>
    </w:rPr>
  </w:style>
  <w:style w:type="paragraph" w:styleId="Revision">
    <w:name w:val="Revision"/>
    <w:hidden/>
    <w:uiPriority w:val="99"/>
    <w:semiHidden/>
    <w:rsid w:val="00120AB0"/>
    <w:rPr>
      <w:sz w:val="24"/>
      <w:szCs w:val="24"/>
    </w:rPr>
  </w:style>
  <w:style w:type="character" w:customStyle="1" w:styleId="verityhit">
    <w:name w:val="verityhit"/>
    <w:basedOn w:val="DefaultParagraphFont"/>
    <w:rsid w:val="0071564B"/>
  </w:style>
  <w:style w:type="character" w:styleId="Hyperlink">
    <w:name w:val="Hyperlink"/>
    <w:basedOn w:val="DefaultParagraphFont"/>
    <w:unhideWhenUsed/>
    <w:rsid w:val="002265E6"/>
    <w:rPr>
      <w:color w:val="0000FF" w:themeColor="hyperlink"/>
      <w:u w:val="single"/>
    </w:rPr>
  </w:style>
  <w:style w:type="character" w:customStyle="1" w:styleId="UnresolvedMention1">
    <w:name w:val="Unresolved Mention1"/>
    <w:basedOn w:val="DefaultParagraphFont"/>
    <w:uiPriority w:val="99"/>
    <w:semiHidden/>
    <w:unhideWhenUsed/>
    <w:rsid w:val="002265E6"/>
    <w:rPr>
      <w:color w:val="605E5C"/>
      <w:shd w:val="clear" w:color="auto" w:fill="E1DFDD"/>
    </w:rPr>
  </w:style>
  <w:style w:type="character" w:styleId="FollowedHyperlink">
    <w:name w:val="FollowedHyperlink"/>
    <w:basedOn w:val="DefaultParagraphFont"/>
    <w:semiHidden/>
    <w:unhideWhenUsed/>
    <w:rsid w:val="00886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4918</Characters>
  <Application>Microsoft Office Word</Application>
  <DocSecurity>4</DocSecurity>
  <Lines>103</Lines>
  <Paragraphs>25</Paragraphs>
  <ScaleCrop>false</ScaleCrop>
  <HeadingPairs>
    <vt:vector size="2" baseType="variant">
      <vt:variant>
        <vt:lpstr>Title</vt:lpstr>
      </vt:variant>
      <vt:variant>
        <vt:i4>1</vt:i4>
      </vt:variant>
    </vt:vector>
  </HeadingPairs>
  <TitlesOfParts>
    <vt:vector size="1" baseType="lpstr">
      <vt:lpstr>BA - SB01015 (Committee Report (Substituted))</vt:lpstr>
    </vt:vector>
  </TitlesOfParts>
  <Company>State of Texas</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30890</dc:subject>
  <dc:creator>State of Texas</dc:creator>
  <dc:description>SB 1015 by King-(H)State Affairs (Substitute Document Number: 88R 27576)</dc:description>
  <cp:lastModifiedBy>Damian Duarte</cp:lastModifiedBy>
  <cp:revision>2</cp:revision>
  <cp:lastPrinted>2003-11-26T17:21:00Z</cp:lastPrinted>
  <dcterms:created xsi:type="dcterms:W3CDTF">2023-05-17T19:22:00Z</dcterms:created>
  <dcterms:modified xsi:type="dcterms:W3CDTF">2023-05-17T19:22:00Z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23.137.134</vt:lpwstr>
  </property>
</Properties>
</file>