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94F60" w14:paraId="54FEDAA9" w14:textId="77777777" w:rsidTr="00345119">
        <w:tc>
          <w:tcPr>
            <w:tcW w:w="9576" w:type="dxa"/>
            <w:noWrap/>
          </w:tcPr>
          <w:p w14:paraId="12AB6999" w14:textId="77777777" w:rsidR="008423E4" w:rsidRPr="0022177D" w:rsidRDefault="00DB4AA9" w:rsidP="009401BC">
            <w:pPr>
              <w:pStyle w:val="Heading1"/>
            </w:pPr>
            <w:r w:rsidRPr="00631897">
              <w:t>BILL ANALYSIS</w:t>
            </w:r>
          </w:p>
        </w:tc>
      </w:tr>
    </w:tbl>
    <w:p w14:paraId="50177B8E" w14:textId="77777777" w:rsidR="008423E4" w:rsidRPr="0022177D" w:rsidRDefault="008423E4" w:rsidP="009401BC">
      <w:pPr>
        <w:jc w:val="center"/>
      </w:pPr>
    </w:p>
    <w:p w14:paraId="2FEBE196" w14:textId="77777777" w:rsidR="008423E4" w:rsidRPr="00B31F0E" w:rsidRDefault="008423E4" w:rsidP="009401BC"/>
    <w:p w14:paraId="0739F9A8" w14:textId="77777777" w:rsidR="008423E4" w:rsidRPr="00742794" w:rsidRDefault="008423E4" w:rsidP="009401B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4F60" w14:paraId="59B83429" w14:textId="77777777" w:rsidTr="00345119">
        <w:tc>
          <w:tcPr>
            <w:tcW w:w="9576" w:type="dxa"/>
          </w:tcPr>
          <w:p w14:paraId="562B646B" w14:textId="2169D384" w:rsidR="008423E4" w:rsidRPr="00861995" w:rsidRDefault="00DB4AA9" w:rsidP="009401BC">
            <w:pPr>
              <w:jc w:val="right"/>
            </w:pPr>
            <w:r>
              <w:t>C.S.S.B. 1021</w:t>
            </w:r>
          </w:p>
        </w:tc>
      </w:tr>
      <w:tr w:rsidR="00C94F60" w14:paraId="024BCF7E" w14:textId="77777777" w:rsidTr="00345119">
        <w:tc>
          <w:tcPr>
            <w:tcW w:w="9576" w:type="dxa"/>
          </w:tcPr>
          <w:p w14:paraId="0AB5FA31" w14:textId="6C1F4CC2" w:rsidR="008423E4" w:rsidRPr="00861995" w:rsidRDefault="00DB4AA9" w:rsidP="009401BC">
            <w:pPr>
              <w:jc w:val="right"/>
            </w:pPr>
            <w:r>
              <w:t xml:space="preserve">By: </w:t>
            </w:r>
            <w:r w:rsidR="00F84FA5">
              <w:t>Nichols</w:t>
            </w:r>
          </w:p>
        </w:tc>
      </w:tr>
      <w:tr w:rsidR="00C94F60" w14:paraId="5E1F98BD" w14:textId="77777777" w:rsidTr="00345119">
        <w:tc>
          <w:tcPr>
            <w:tcW w:w="9576" w:type="dxa"/>
          </w:tcPr>
          <w:p w14:paraId="3163D643" w14:textId="6240B3AC" w:rsidR="008423E4" w:rsidRPr="00861995" w:rsidRDefault="00DB4AA9" w:rsidP="009401BC">
            <w:pPr>
              <w:jc w:val="right"/>
            </w:pPr>
            <w:r>
              <w:t>Transportation</w:t>
            </w:r>
          </w:p>
        </w:tc>
      </w:tr>
      <w:tr w:rsidR="00C94F60" w14:paraId="3A833311" w14:textId="77777777" w:rsidTr="00345119">
        <w:tc>
          <w:tcPr>
            <w:tcW w:w="9576" w:type="dxa"/>
          </w:tcPr>
          <w:p w14:paraId="7D3377AD" w14:textId="3C178E88" w:rsidR="008423E4" w:rsidRDefault="00DB4AA9" w:rsidP="009401BC">
            <w:pPr>
              <w:jc w:val="right"/>
            </w:pPr>
            <w:r>
              <w:t>Committee Report (Substituted)</w:t>
            </w:r>
          </w:p>
        </w:tc>
      </w:tr>
    </w:tbl>
    <w:p w14:paraId="564AD988" w14:textId="77777777" w:rsidR="008423E4" w:rsidRDefault="008423E4" w:rsidP="009401BC">
      <w:pPr>
        <w:tabs>
          <w:tab w:val="right" w:pos="9360"/>
        </w:tabs>
      </w:pPr>
    </w:p>
    <w:p w14:paraId="108825C1" w14:textId="77777777" w:rsidR="008423E4" w:rsidRDefault="008423E4" w:rsidP="009401BC"/>
    <w:p w14:paraId="521D0D71" w14:textId="77777777" w:rsidR="008423E4" w:rsidRDefault="008423E4" w:rsidP="009401B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94F60" w14:paraId="774E4896" w14:textId="77777777" w:rsidTr="004F04DB">
        <w:tc>
          <w:tcPr>
            <w:tcW w:w="9360" w:type="dxa"/>
          </w:tcPr>
          <w:p w14:paraId="3F9987F6" w14:textId="77777777" w:rsidR="008423E4" w:rsidRPr="00A8133F" w:rsidRDefault="00DB4AA9" w:rsidP="009401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01AF07" w14:textId="77777777" w:rsidR="008423E4" w:rsidRDefault="008423E4" w:rsidP="009401BC"/>
          <w:p w14:paraId="5BA45E08" w14:textId="09990ED7" w:rsidR="008423E4" w:rsidRDefault="00DB4AA9" w:rsidP="009401BC">
            <w:pPr>
              <w:pStyle w:val="Header"/>
              <w:jc w:val="both"/>
            </w:pPr>
            <w:r w:rsidRPr="005F6666">
              <w:t xml:space="preserve">In recent years, the Texas Department of Transportation (TxDOT) and its partners in the construction industry have </w:t>
            </w:r>
            <w:r w:rsidRPr="005F6666">
              <w:t>experienced increasing inflation</w:t>
            </w:r>
            <w:r w:rsidR="00504B96">
              <w:t>ary pressures</w:t>
            </w:r>
            <w:r w:rsidR="00E95D17">
              <w:t>, paired with labor and material supply challenges, which have raised the cost to build Texas highways</w:t>
            </w:r>
            <w:r w:rsidRPr="005F6666">
              <w:t xml:space="preserve">. </w:t>
            </w:r>
            <w:r w:rsidR="00504B96">
              <w:t>C</w:t>
            </w:r>
            <w:r w:rsidR="00E95D17">
              <w:t>urrent law</w:t>
            </w:r>
            <w:r>
              <w:t xml:space="preserve"> allows TxDOT district engineers to award local let highway improvement and maintenance projects</w:t>
            </w:r>
            <w:r>
              <w:t xml:space="preserve"> with </w:t>
            </w:r>
            <w:r w:rsidRPr="00E95D17">
              <w:t>an engineer</w:t>
            </w:r>
            <w:r w:rsidR="00E95D17">
              <w:t>'</w:t>
            </w:r>
            <w:r w:rsidRPr="00E95D17">
              <w:t>s estimate</w:t>
            </w:r>
            <w:r>
              <w:t xml:space="preserve"> of less than $300,000, an amount that has remained unchanged since 1997. C.S.S.B.</w:t>
            </w:r>
            <w:r w:rsidR="00423272">
              <w:t> </w:t>
            </w:r>
            <w:r>
              <w:t>1021</w:t>
            </w:r>
            <w:r w:rsidRPr="005F6666">
              <w:t xml:space="preserve"> </w:t>
            </w:r>
            <w:r>
              <w:t xml:space="preserve">seeks to </w:t>
            </w:r>
            <w:r w:rsidR="00D45E27">
              <w:t>raise</w:t>
            </w:r>
            <w:r w:rsidRPr="005F6666">
              <w:t xml:space="preserve"> the </w:t>
            </w:r>
            <w:r w:rsidR="00E95D17">
              <w:t>cap</w:t>
            </w:r>
            <w:r w:rsidR="00467787" w:rsidRPr="005F6666">
              <w:t xml:space="preserve"> </w:t>
            </w:r>
            <w:r w:rsidRPr="005F6666">
              <w:t>to $1</w:t>
            </w:r>
            <w:r w:rsidR="00CC52D5">
              <w:t xml:space="preserve"> million</w:t>
            </w:r>
            <w:r w:rsidR="00D45E27">
              <w:t xml:space="preserve"> in order to keep up with inflation</w:t>
            </w:r>
            <w:r w:rsidR="001316EA">
              <w:t xml:space="preserve"> and</w:t>
            </w:r>
            <w:r w:rsidRPr="005F6666">
              <w:t xml:space="preserve"> help ensure that these smaller highway projects are let and deli</w:t>
            </w:r>
            <w:r w:rsidRPr="005F6666">
              <w:t>vered expediently and under the control of the local TxDOT district.</w:t>
            </w:r>
          </w:p>
          <w:p w14:paraId="4BB8457A" w14:textId="77777777" w:rsidR="008423E4" w:rsidRPr="00E26B13" w:rsidRDefault="008423E4" w:rsidP="009401BC">
            <w:pPr>
              <w:rPr>
                <w:b/>
              </w:rPr>
            </w:pPr>
          </w:p>
        </w:tc>
      </w:tr>
      <w:tr w:rsidR="00C94F60" w14:paraId="4F702D34" w14:textId="77777777" w:rsidTr="004F04DB">
        <w:tc>
          <w:tcPr>
            <w:tcW w:w="9360" w:type="dxa"/>
          </w:tcPr>
          <w:p w14:paraId="11439895" w14:textId="77777777" w:rsidR="0017725B" w:rsidRDefault="00DB4AA9" w:rsidP="009401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94149CB" w14:textId="77777777" w:rsidR="0017725B" w:rsidRDefault="0017725B" w:rsidP="009401BC">
            <w:pPr>
              <w:rPr>
                <w:b/>
                <w:u w:val="single"/>
              </w:rPr>
            </w:pPr>
          </w:p>
          <w:p w14:paraId="242E7297" w14:textId="24EECA66" w:rsidR="00275089" w:rsidRPr="00275089" w:rsidRDefault="00DB4AA9" w:rsidP="009401B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37122DB4" w14:textId="77777777" w:rsidR="0017725B" w:rsidRPr="0017725B" w:rsidRDefault="0017725B" w:rsidP="009401BC">
            <w:pPr>
              <w:rPr>
                <w:b/>
                <w:u w:val="single"/>
              </w:rPr>
            </w:pPr>
          </w:p>
        </w:tc>
      </w:tr>
      <w:tr w:rsidR="00C94F60" w14:paraId="00FBA16A" w14:textId="77777777" w:rsidTr="004F04DB">
        <w:tc>
          <w:tcPr>
            <w:tcW w:w="9360" w:type="dxa"/>
          </w:tcPr>
          <w:p w14:paraId="1D83036D" w14:textId="77777777" w:rsidR="008423E4" w:rsidRPr="00A8133F" w:rsidRDefault="00DB4AA9" w:rsidP="009401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2736C7" w14:textId="77777777" w:rsidR="008423E4" w:rsidRDefault="008423E4" w:rsidP="009401BC"/>
          <w:p w14:paraId="21CF4A2A" w14:textId="4FDAFBA9" w:rsidR="00275089" w:rsidRDefault="00DB4AA9" w:rsidP="009401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Transportation Commi</w:t>
            </w:r>
            <w:r>
              <w:t xml:space="preserve">ssion in SECTION </w:t>
            </w:r>
            <w:r w:rsidR="00942F43">
              <w:t xml:space="preserve">2 </w:t>
            </w:r>
            <w:r>
              <w:t>of this bill.</w:t>
            </w:r>
          </w:p>
          <w:p w14:paraId="1FBF17AA" w14:textId="77777777" w:rsidR="008423E4" w:rsidRPr="00E21FDC" w:rsidRDefault="008423E4" w:rsidP="009401BC">
            <w:pPr>
              <w:rPr>
                <w:b/>
              </w:rPr>
            </w:pPr>
          </w:p>
        </w:tc>
      </w:tr>
      <w:tr w:rsidR="00C94F60" w14:paraId="415A3E63" w14:textId="77777777" w:rsidTr="004F04DB">
        <w:tc>
          <w:tcPr>
            <w:tcW w:w="9360" w:type="dxa"/>
          </w:tcPr>
          <w:p w14:paraId="506C0C04" w14:textId="77777777" w:rsidR="008423E4" w:rsidRPr="00A8133F" w:rsidRDefault="00DB4AA9" w:rsidP="009401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C15CB3F" w14:textId="77777777" w:rsidR="008423E4" w:rsidRDefault="008423E4" w:rsidP="009401BC"/>
          <w:p w14:paraId="750B0FAD" w14:textId="665D6C18" w:rsidR="006426C5" w:rsidRDefault="00DB4AA9" w:rsidP="009401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1021</w:t>
            </w:r>
            <w:r w:rsidR="00275089">
              <w:t xml:space="preserve"> amends the </w:t>
            </w:r>
            <w:r w:rsidR="00275089" w:rsidRPr="00275089">
              <w:t>Transportation Code</w:t>
            </w:r>
            <w:r w:rsidR="00275089">
              <w:t xml:space="preserve"> to </w:t>
            </w:r>
            <w:r>
              <w:t xml:space="preserve">make the following changes to the authorization for the Texas Transportation Commission to allow bids </w:t>
            </w:r>
            <w:r w:rsidRPr="00021A1E">
              <w:t xml:space="preserve">on </w:t>
            </w:r>
            <w:r w:rsidR="00021A1E">
              <w:t>highway</w:t>
            </w:r>
            <w:r w:rsidR="00F07B66">
              <w:t xml:space="preserve"> </w:t>
            </w:r>
            <w:r w:rsidR="00021A1E">
              <w:t>project</w:t>
            </w:r>
            <w:r w:rsidRPr="00021A1E">
              <w:t xml:space="preserve"> contract</w:t>
            </w:r>
            <w:r w:rsidR="00021A1E">
              <w:t>s</w:t>
            </w:r>
            <w:r>
              <w:t xml:space="preserve"> </w:t>
            </w:r>
            <w:r w:rsidR="00402CE4">
              <w:t>estimated to involve an</w:t>
            </w:r>
            <w:r>
              <w:t xml:space="preserve"> amount less than $300,000 to be filed with </w:t>
            </w:r>
            <w:r w:rsidR="009F2FB2">
              <w:t xml:space="preserve">the </w:t>
            </w:r>
            <w:r w:rsidR="00F07B66">
              <w:t>d</w:t>
            </w:r>
            <w:r>
              <w:t>istrict engineer a</w:t>
            </w:r>
            <w:r w:rsidR="00F07B66">
              <w:t>t the headquarters for the district in which the improvement is to be made a</w:t>
            </w:r>
            <w:r>
              <w:t xml:space="preserve">nd opened and read at a public meeting held by </w:t>
            </w:r>
            <w:r w:rsidR="00402CE4">
              <w:t>th</w:t>
            </w:r>
            <w:r w:rsidR="00900FCD">
              <w:t>e</w:t>
            </w:r>
            <w:r>
              <w:t xml:space="preserve"> engineer or </w:t>
            </w:r>
            <w:r w:rsidR="00402CE4">
              <w:t>their</w:t>
            </w:r>
            <w:r>
              <w:t xml:space="preserve"> designee:</w:t>
            </w:r>
          </w:p>
          <w:p w14:paraId="4D06BA0B" w14:textId="4F9B98E9" w:rsidR="006426C5" w:rsidRDefault="00DB4AA9" w:rsidP="009401B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increases</w:t>
            </w:r>
            <w:r w:rsidR="001051E2">
              <w:t xml:space="preserve"> </w:t>
            </w:r>
            <w:r>
              <w:t xml:space="preserve">that </w:t>
            </w:r>
            <w:r w:rsidR="00F35F83">
              <w:t>cap</w:t>
            </w:r>
            <w:r>
              <w:t xml:space="preserve"> from</w:t>
            </w:r>
            <w:r w:rsidR="001051E2" w:rsidRPr="001051E2">
              <w:t xml:space="preserve"> </w:t>
            </w:r>
            <w:r w:rsidR="00F35F83">
              <w:t xml:space="preserve">less than </w:t>
            </w:r>
            <w:r w:rsidR="001051E2" w:rsidRPr="001051E2">
              <w:t xml:space="preserve">$300,000 to </w:t>
            </w:r>
            <w:r w:rsidR="00F35F83">
              <w:t xml:space="preserve">less than </w:t>
            </w:r>
            <w:r w:rsidR="001051E2" w:rsidRPr="001051E2">
              <w:t>$1 million</w:t>
            </w:r>
            <w:r>
              <w:t>;</w:t>
            </w:r>
            <w:r w:rsidR="00BD5FC5">
              <w:t xml:space="preserve"> and</w:t>
            </w:r>
          </w:p>
          <w:p w14:paraId="3D13D613" w14:textId="7B56DAF0" w:rsidR="00023503" w:rsidRDefault="00DB4AA9" w:rsidP="009401B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specifies that the authorization applies to contracts other than</w:t>
            </w:r>
            <w:r>
              <w:t xml:space="preserve"> building construction contracts.</w:t>
            </w:r>
          </w:p>
          <w:p w14:paraId="4B23145D" w14:textId="3108B77B" w:rsidR="009C36CD" w:rsidRPr="009C36CD" w:rsidRDefault="00DB4AA9" w:rsidP="009401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8D54BA">
              <w:t xml:space="preserve"> </w:t>
            </w:r>
            <w:r w:rsidR="009501A5">
              <w:t>authorizes</w:t>
            </w:r>
            <w:r w:rsidR="008D54BA">
              <w:t xml:space="preserve"> </w:t>
            </w:r>
            <w:r w:rsidR="009501A5">
              <w:t xml:space="preserve">the </w:t>
            </w:r>
            <w:r w:rsidR="009501A5" w:rsidRPr="009501A5">
              <w:t xml:space="preserve">commission by rule </w:t>
            </w:r>
            <w:r w:rsidR="009501A5">
              <w:t xml:space="preserve">to </w:t>
            </w:r>
            <w:r w:rsidR="009501A5" w:rsidRPr="009501A5">
              <w:t xml:space="preserve">allow bids </w:t>
            </w:r>
            <w:r w:rsidR="00F07B66">
              <w:t xml:space="preserve">on a </w:t>
            </w:r>
            <w:r w:rsidR="009501A5" w:rsidRPr="00021A1E">
              <w:t>building construction contract</w:t>
            </w:r>
            <w:r w:rsidR="00021A1E">
              <w:t xml:space="preserve"> </w:t>
            </w:r>
            <w:r w:rsidR="00402CE4" w:rsidRPr="00B80590">
              <w:t>estimated to involve an amount less</w:t>
            </w:r>
            <w:r w:rsidR="00D86CAD" w:rsidRPr="009F2FB2">
              <w:t xml:space="preserve"> than $1 million </w:t>
            </w:r>
            <w:r w:rsidR="009501A5" w:rsidRPr="009F2FB2">
              <w:t xml:space="preserve">to be </w:t>
            </w:r>
            <w:r w:rsidR="008D54BA" w:rsidRPr="009F2FB2">
              <w:t>filed</w:t>
            </w:r>
            <w:r w:rsidR="008D54BA">
              <w:t xml:space="preserve"> with the</w:t>
            </w:r>
            <w:r w:rsidR="00B15CC4">
              <w:t xml:space="preserve"> director of the</w:t>
            </w:r>
            <w:r w:rsidR="008D54BA">
              <w:t xml:space="preserve"> </w:t>
            </w:r>
            <w:r w:rsidR="008D54BA" w:rsidRPr="008D54BA">
              <w:t>division of t</w:t>
            </w:r>
            <w:r w:rsidR="008D54BA">
              <w:t xml:space="preserve">he </w:t>
            </w:r>
            <w:r w:rsidR="008D54BA" w:rsidRPr="00402CE4">
              <w:t xml:space="preserve">Texas Department of Transportation </w:t>
            </w:r>
            <w:r w:rsidR="00F9164C" w:rsidRPr="00402CE4">
              <w:t>(TxDOT)</w:t>
            </w:r>
            <w:r w:rsidR="00F9164C">
              <w:t xml:space="preserve"> </w:t>
            </w:r>
            <w:r w:rsidR="008D54BA" w:rsidRPr="008D54BA">
              <w:t>that is responsible for the construction of the</w:t>
            </w:r>
            <w:r w:rsidR="009501A5">
              <w:t xml:space="preserve"> </w:t>
            </w:r>
            <w:r w:rsidR="008D54BA" w:rsidRPr="008D54BA">
              <w:t xml:space="preserve">building </w:t>
            </w:r>
            <w:r w:rsidR="009501A5">
              <w:t>and</w:t>
            </w:r>
            <w:r w:rsidR="008D54BA">
              <w:t xml:space="preserve"> to be </w:t>
            </w:r>
            <w:r w:rsidR="008D54BA" w:rsidRPr="008D54BA">
              <w:t xml:space="preserve">opened and read at a public meeting held by the division director or </w:t>
            </w:r>
            <w:r w:rsidR="00BD5FC5">
              <w:t>their</w:t>
            </w:r>
            <w:r w:rsidR="008D54BA" w:rsidRPr="008D54BA">
              <w:t xml:space="preserve"> designee</w:t>
            </w:r>
            <w:r w:rsidR="00D70A93">
              <w:t xml:space="preserve">. </w:t>
            </w:r>
            <w:r w:rsidR="001051E2">
              <w:t xml:space="preserve">The bill applies only to bids </w:t>
            </w:r>
            <w:r w:rsidR="001051E2" w:rsidRPr="001051E2">
              <w:t xml:space="preserve">for which the notice of bid is given on or after the </w:t>
            </w:r>
            <w:r w:rsidR="001051E2">
              <w:t xml:space="preserve">bill's </w:t>
            </w:r>
            <w:r w:rsidR="001051E2" w:rsidRPr="001051E2">
              <w:t>effective date</w:t>
            </w:r>
            <w:r w:rsidR="008B4980" w:rsidRPr="008B4980">
              <w:t>.</w:t>
            </w:r>
          </w:p>
          <w:p w14:paraId="1BD123E1" w14:textId="77777777" w:rsidR="008423E4" w:rsidRPr="00835628" w:rsidRDefault="008423E4" w:rsidP="009401BC">
            <w:pPr>
              <w:rPr>
                <w:b/>
              </w:rPr>
            </w:pPr>
          </w:p>
        </w:tc>
      </w:tr>
      <w:tr w:rsidR="00C94F60" w14:paraId="1D824ABF" w14:textId="77777777" w:rsidTr="004F04DB">
        <w:tc>
          <w:tcPr>
            <w:tcW w:w="9360" w:type="dxa"/>
          </w:tcPr>
          <w:p w14:paraId="3E183907" w14:textId="77777777" w:rsidR="008423E4" w:rsidRPr="00A8133F" w:rsidRDefault="00DB4AA9" w:rsidP="009401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508BF2" w14:textId="77777777" w:rsidR="008423E4" w:rsidRDefault="008423E4" w:rsidP="009401BC"/>
          <w:p w14:paraId="2715AAEB" w14:textId="0DD301B9" w:rsidR="008423E4" w:rsidRPr="003624F2" w:rsidRDefault="00DB4AA9" w:rsidP="009401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54AB159" w14:textId="77777777" w:rsidR="008423E4" w:rsidRPr="00233FDB" w:rsidRDefault="008423E4" w:rsidP="009401BC">
            <w:pPr>
              <w:rPr>
                <w:b/>
              </w:rPr>
            </w:pPr>
          </w:p>
        </w:tc>
      </w:tr>
      <w:tr w:rsidR="00C94F60" w14:paraId="1A7F5CF6" w14:textId="77777777" w:rsidTr="004F04DB">
        <w:tc>
          <w:tcPr>
            <w:tcW w:w="9360" w:type="dxa"/>
          </w:tcPr>
          <w:p w14:paraId="4A8C845D" w14:textId="77777777" w:rsidR="00F84FA5" w:rsidRDefault="00DB4AA9" w:rsidP="003E1254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095E8336" w14:textId="77777777" w:rsidR="009501A5" w:rsidRDefault="009501A5" w:rsidP="009401BC">
            <w:pPr>
              <w:jc w:val="both"/>
            </w:pPr>
          </w:p>
          <w:p w14:paraId="69C280D3" w14:textId="1A3F23A3" w:rsidR="009501A5" w:rsidRDefault="00DB4AA9" w:rsidP="009401BC">
            <w:pPr>
              <w:jc w:val="both"/>
            </w:pPr>
            <w:r>
              <w:t xml:space="preserve">While C.S.S.B. 1021 may differ from the engrossed in </w:t>
            </w:r>
            <w:r>
              <w:t>minor or nonsubstantive ways, the following summarizes the substantial differences between the engrossed and committee substitute versions of the bill.</w:t>
            </w:r>
          </w:p>
          <w:p w14:paraId="0346F165" w14:textId="1D3926EB" w:rsidR="009501A5" w:rsidRDefault="009501A5" w:rsidP="009401BC">
            <w:pPr>
              <w:jc w:val="both"/>
            </w:pPr>
          </w:p>
          <w:p w14:paraId="480FD217" w14:textId="7C60DA23" w:rsidR="004478F4" w:rsidRDefault="00DB4AA9" w:rsidP="009401BC">
            <w:pPr>
              <w:jc w:val="both"/>
            </w:pPr>
            <w:r>
              <w:t xml:space="preserve">The substitute includes provisions </w:t>
            </w:r>
            <w:r w:rsidR="00900FCD">
              <w:t>absent from</w:t>
            </w:r>
            <w:r>
              <w:t xml:space="preserve"> the </w:t>
            </w:r>
            <w:r w:rsidR="00900FCD">
              <w:t>engrossed</w:t>
            </w:r>
            <w:r>
              <w:t xml:space="preserve"> that do the following:</w:t>
            </w:r>
          </w:p>
          <w:p w14:paraId="0D086D0A" w14:textId="5C1B468B" w:rsidR="004478F4" w:rsidRDefault="00DB4AA9" w:rsidP="009401B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specify that the ex</w:t>
            </w:r>
            <w:r>
              <w:t xml:space="preserve">isting authorization for the commission to allow bids for certain contracts to be filed with </w:t>
            </w:r>
            <w:r w:rsidR="0021391F">
              <w:t xml:space="preserve">a </w:t>
            </w:r>
            <w:r>
              <w:t>district engineer applies to contracts other than building construction contracts; and</w:t>
            </w:r>
          </w:p>
          <w:p w14:paraId="6C808BC8" w14:textId="07C40EB9" w:rsidR="009501A5" w:rsidRPr="00A15FFD" w:rsidRDefault="00DB4AA9" w:rsidP="009401BC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authorize the commission </w:t>
            </w:r>
            <w:r w:rsidR="00900FCD">
              <w:t xml:space="preserve">by rule </w:t>
            </w:r>
            <w:r w:rsidR="00A15FFD" w:rsidRPr="00A15FFD">
              <w:t>to allow bids on</w:t>
            </w:r>
            <w:r w:rsidR="00F35F83">
              <w:t xml:space="preserve"> </w:t>
            </w:r>
            <w:r w:rsidR="002511A2">
              <w:t xml:space="preserve">a </w:t>
            </w:r>
            <w:r w:rsidR="00A15FFD" w:rsidRPr="00A15FFD">
              <w:t>building construction contract</w:t>
            </w:r>
            <w:r w:rsidR="002511A2">
              <w:t xml:space="preserve"> estimated to involve less than $1 million</w:t>
            </w:r>
            <w:r w:rsidR="000A2D4B">
              <w:t xml:space="preserve"> </w:t>
            </w:r>
            <w:r w:rsidR="00A15FFD" w:rsidRPr="00A15FFD">
              <w:t>to be filed with the</w:t>
            </w:r>
            <w:r w:rsidR="00B023A1">
              <w:t xml:space="preserve"> director of the</w:t>
            </w:r>
            <w:r w:rsidR="00A15FFD" w:rsidRPr="00A15FFD">
              <w:t xml:space="preserve"> division of </w:t>
            </w:r>
            <w:r w:rsidR="00F9164C">
              <w:t>TxDOT</w:t>
            </w:r>
            <w:r w:rsidR="00A15FFD" w:rsidRPr="00A15FFD">
              <w:t xml:space="preserve"> that is responsible for the construction of the building and to be opened and read at a public meeting held by the division director or </w:t>
            </w:r>
            <w:r w:rsidR="0021391F">
              <w:t>their</w:t>
            </w:r>
            <w:r w:rsidR="00A15FFD" w:rsidRPr="00A15FFD">
              <w:t xml:space="preserve"> designee.</w:t>
            </w:r>
          </w:p>
        </w:tc>
      </w:tr>
    </w:tbl>
    <w:p w14:paraId="3069F001" w14:textId="77777777" w:rsidR="004108C3" w:rsidRPr="008423E4" w:rsidRDefault="004108C3" w:rsidP="009401B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58FC" w14:textId="77777777" w:rsidR="00000000" w:rsidRDefault="00DB4AA9">
      <w:r>
        <w:separator/>
      </w:r>
    </w:p>
  </w:endnote>
  <w:endnote w:type="continuationSeparator" w:id="0">
    <w:p w14:paraId="505B2729" w14:textId="77777777" w:rsidR="00000000" w:rsidRDefault="00DB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92A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4F60" w14:paraId="50DE5200" w14:textId="77777777" w:rsidTr="009C1E9A">
      <w:trPr>
        <w:cantSplit/>
      </w:trPr>
      <w:tc>
        <w:tcPr>
          <w:tcW w:w="0" w:type="pct"/>
        </w:tcPr>
        <w:p w14:paraId="36D73D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6CCA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B00F2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4216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57627B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4F60" w14:paraId="5973789B" w14:textId="77777777" w:rsidTr="009C1E9A">
      <w:trPr>
        <w:cantSplit/>
      </w:trPr>
      <w:tc>
        <w:tcPr>
          <w:tcW w:w="0" w:type="pct"/>
        </w:tcPr>
        <w:p w14:paraId="7BFC9E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5D09D5" w14:textId="56EC5E3C" w:rsidR="00EC379B" w:rsidRPr="009C1E9A" w:rsidRDefault="00DB4A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26892-D</w:t>
          </w:r>
        </w:p>
      </w:tc>
      <w:tc>
        <w:tcPr>
          <w:tcW w:w="2453" w:type="pct"/>
        </w:tcPr>
        <w:p w14:paraId="7D4EF755" w14:textId="1EF56D05" w:rsidR="00EC379B" w:rsidRDefault="00DB4A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594F">
            <w:t>23.119.586</w:t>
          </w:r>
          <w:r>
            <w:fldChar w:fldCharType="end"/>
          </w:r>
        </w:p>
      </w:tc>
    </w:tr>
    <w:tr w:rsidR="00C94F60" w14:paraId="74C50F87" w14:textId="77777777" w:rsidTr="009C1E9A">
      <w:trPr>
        <w:cantSplit/>
      </w:trPr>
      <w:tc>
        <w:tcPr>
          <w:tcW w:w="0" w:type="pct"/>
        </w:tcPr>
        <w:p w14:paraId="3DE6AE8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C2FB56" w14:textId="6739B40F" w:rsidR="00EC379B" w:rsidRPr="009C1E9A" w:rsidRDefault="00DB4A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24600</w:t>
          </w:r>
        </w:p>
      </w:tc>
      <w:tc>
        <w:tcPr>
          <w:tcW w:w="2453" w:type="pct"/>
        </w:tcPr>
        <w:p w14:paraId="343101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084E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4F60" w14:paraId="27F763C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F19931" w14:textId="77777777" w:rsidR="00EC379B" w:rsidRDefault="00DB4A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8EBD0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BCA5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9A7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CA08" w14:textId="77777777" w:rsidR="00000000" w:rsidRDefault="00DB4AA9">
      <w:r>
        <w:separator/>
      </w:r>
    </w:p>
  </w:footnote>
  <w:footnote w:type="continuationSeparator" w:id="0">
    <w:p w14:paraId="5B6E1BA2" w14:textId="77777777" w:rsidR="00000000" w:rsidRDefault="00DB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BC2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ADF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C75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B2C73"/>
    <w:multiLevelType w:val="hybridMultilevel"/>
    <w:tmpl w:val="CA0CD83E"/>
    <w:lvl w:ilvl="0" w:tplc="636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26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08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2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1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45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C5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D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AA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255E"/>
    <w:multiLevelType w:val="hybridMultilevel"/>
    <w:tmpl w:val="83A038DA"/>
    <w:lvl w:ilvl="0" w:tplc="EAE4E0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6242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1329E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9680F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0F81AE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044703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D24F7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186300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BE588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9261275">
    <w:abstractNumId w:val="1"/>
  </w:num>
  <w:num w:numId="2" w16cid:durableId="124002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A1E"/>
    <w:rsid w:val="0002350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2A8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67E8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135F"/>
    <w:rsid w:val="000A2D4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ABE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1E2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6EA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358A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22E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91F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1A2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089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635A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DA3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85F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BAC"/>
    <w:rsid w:val="00370155"/>
    <w:rsid w:val="003712D5"/>
    <w:rsid w:val="003747DF"/>
    <w:rsid w:val="00377E3D"/>
    <w:rsid w:val="003847E8"/>
    <w:rsid w:val="0038731D"/>
    <w:rsid w:val="00387B60"/>
    <w:rsid w:val="00390098"/>
    <w:rsid w:val="0039264B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254"/>
    <w:rsid w:val="003E4C2C"/>
    <w:rsid w:val="003E6CB0"/>
    <w:rsid w:val="003F1F5E"/>
    <w:rsid w:val="003F286A"/>
    <w:rsid w:val="003F77F8"/>
    <w:rsid w:val="00400ACD"/>
    <w:rsid w:val="00402CE4"/>
    <w:rsid w:val="00403B15"/>
    <w:rsid w:val="00403E8A"/>
    <w:rsid w:val="004055C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272"/>
    <w:rsid w:val="00423FBC"/>
    <w:rsid w:val="004241AA"/>
    <w:rsid w:val="0042422E"/>
    <w:rsid w:val="0042594F"/>
    <w:rsid w:val="0043190E"/>
    <w:rsid w:val="004324E9"/>
    <w:rsid w:val="004350F3"/>
    <w:rsid w:val="00436980"/>
    <w:rsid w:val="00441016"/>
    <w:rsid w:val="00441F2F"/>
    <w:rsid w:val="0044228B"/>
    <w:rsid w:val="00447018"/>
    <w:rsid w:val="004478F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778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6F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4DB"/>
    <w:rsid w:val="004F32AD"/>
    <w:rsid w:val="004F57CB"/>
    <w:rsid w:val="004F64F6"/>
    <w:rsid w:val="004F69C0"/>
    <w:rsid w:val="00500121"/>
    <w:rsid w:val="005017AC"/>
    <w:rsid w:val="00501E06"/>
    <w:rsid w:val="00501E8A"/>
    <w:rsid w:val="00504B9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B35"/>
    <w:rsid w:val="005269CE"/>
    <w:rsid w:val="005304B2"/>
    <w:rsid w:val="005336BD"/>
    <w:rsid w:val="00534A49"/>
    <w:rsid w:val="005363BB"/>
    <w:rsid w:val="00536ABC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A7E4C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666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6C5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9D5"/>
    <w:rsid w:val="0067036E"/>
    <w:rsid w:val="00671693"/>
    <w:rsid w:val="00674CED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A8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CE8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980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58D"/>
    <w:rsid w:val="008D54BA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FCD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1BC"/>
    <w:rsid w:val="009418E9"/>
    <w:rsid w:val="00942F43"/>
    <w:rsid w:val="00946044"/>
    <w:rsid w:val="0094653B"/>
    <w:rsid w:val="009465AB"/>
    <w:rsid w:val="00946DEE"/>
    <w:rsid w:val="009501A5"/>
    <w:rsid w:val="009514C1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20B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FB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FFD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80F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A6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3A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CC4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590"/>
    <w:rsid w:val="00B82039"/>
    <w:rsid w:val="00B82454"/>
    <w:rsid w:val="00B83EC6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5FC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F6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52D5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E2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A9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6CA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AA9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5D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D17"/>
    <w:rsid w:val="00E96852"/>
    <w:rsid w:val="00EA16AC"/>
    <w:rsid w:val="00EA385A"/>
    <w:rsid w:val="00EA3931"/>
    <w:rsid w:val="00EA658E"/>
    <w:rsid w:val="00EA7A88"/>
    <w:rsid w:val="00EB1B60"/>
    <w:rsid w:val="00EB27F2"/>
    <w:rsid w:val="00EB3928"/>
    <w:rsid w:val="00EB5373"/>
    <w:rsid w:val="00EC02A2"/>
    <w:rsid w:val="00EC379B"/>
    <w:rsid w:val="00EC37DF"/>
    <w:rsid w:val="00EC3A99"/>
    <w:rsid w:val="00EC41B1"/>
    <w:rsid w:val="00EC5C4A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B66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5F83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DBC"/>
    <w:rsid w:val="00F706CA"/>
    <w:rsid w:val="00F70F8D"/>
    <w:rsid w:val="00F71C5A"/>
    <w:rsid w:val="00F733A4"/>
    <w:rsid w:val="00F7758F"/>
    <w:rsid w:val="00F82811"/>
    <w:rsid w:val="00F84153"/>
    <w:rsid w:val="00F84FA5"/>
    <w:rsid w:val="00F85661"/>
    <w:rsid w:val="00F9164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ABE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58EEE4-A533-4179-A048-F8B5534F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50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0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0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089"/>
    <w:rPr>
      <w:b/>
      <w:bCs/>
    </w:rPr>
  </w:style>
  <w:style w:type="paragraph" w:styleId="Revision">
    <w:name w:val="Revision"/>
    <w:hidden/>
    <w:uiPriority w:val="99"/>
    <w:semiHidden/>
    <w:rsid w:val="006F3C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2814</Characters>
  <Application>Microsoft Office Word</Application>
  <DocSecurity>4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SB01021 (Committee Report (Substituted))</vt:lpstr>
    </vt:vector>
  </TitlesOfParts>
  <Company>State of Texas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26892</dc:subject>
  <dc:creator>State of Texas</dc:creator>
  <dc:description>SB 1021 by Nichols-(H)Transportation (Substitute Document Number: 88R 24600)</dc:description>
  <cp:lastModifiedBy>Stacey Nicchio</cp:lastModifiedBy>
  <cp:revision>2</cp:revision>
  <cp:lastPrinted>2003-11-26T17:21:00Z</cp:lastPrinted>
  <dcterms:created xsi:type="dcterms:W3CDTF">2023-05-01T23:33:00Z</dcterms:created>
  <dcterms:modified xsi:type="dcterms:W3CDTF">2023-05-01T23:33:00Z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23.119.586</vt:lpwstr>
  </property>
</Properties>
</file>