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3AF3" w14:paraId="05EB9C49" w14:textId="77777777" w:rsidTr="00345119">
        <w:tc>
          <w:tcPr>
            <w:tcW w:w="9576" w:type="dxa"/>
            <w:noWrap/>
          </w:tcPr>
          <w:p w14:paraId="5C74BFB6" w14:textId="77777777" w:rsidR="008423E4" w:rsidRPr="0022177D" w:rsidRDefault="00AC5A32" w:rsidP="00090626">
            <w:pPr>
              <w:pStyle w:val="Heading1"/>
            </w:pPr>
            <w:r w:rsidRPr="00631897">
              <w:t>BILL ANALYSIS</w:t>
            </w:r>
          </w:p>
        </w:tc>
      </w:tr>
    </w:tbl>
    <w:p w14:paraId="3AD756F7" w14:textId="77777777" w:rsidR="008423E4" w:rsidRPr="00F26E77" w:rsidRDefault="008423E4" w:rsidP="00090626">
      <w:pPr>
        <w:jc w:val="center"/>
        <w:rPr>
          <w:sz w:val="20"/>
          <w:szCs w:val="20"/>
        </w:rPr>
      </w:pPr>
    </w:p>
    <w:p w14:paraId="72300F47" w14:textId="77777777" w:rsidR="008423E4" w:rsidRPr="00F26E77" w:rsidRDefault="008423E4" w:rsidP="00090626">
      <w:pPr>
        <w:rPr>
          <w:sz w:val="20"/>
          <w:szCs w:val="20"/>
        </w:rPr>
      </w:pPr>
    </w:p>
    <w:p w14:paraId="38C716EC" w14:textId="77777777" w:rsidR="008423E4" w:rsidRPr="00F26E77" w:rsidRDefault="008423E4" w:rsidP="00090626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3AF3" w14:paraId="1B2033F1" w14:textId="77777777" w:rsidTr="00345119">
        <w:tc>
          <w:tcPr>
            <w:tcW w:w="9576" w:type="dxa"/>
          </w:tcPr>
          <w:p w14:paraId="48C72696" w14:textId="5641CDD4" w:rsidR="008423E4" w:rsidRPr="00861995" w:rsidRDefault="00AC5A32" w:rsidP="00090626">
            <w:pPr>
              <w:jc w:val="right"/>
            </w:pPr>
            <w:r>
              <w:t>C.S.S.B. 1039</w:t>
            </w:r>
          </w:p>
        </w:tc>
      </w:tr>
      <w:tr w:rsidR="00C93AF3" w14:paraId="5C7676EB" w14:textId="77777777" w:rsidTr="00345119">
        <w:tc>
          <w:tcPr>
            <w:tcW w:w="9576" w:type="dxa"/>
          </w:tcPr>
          <w:p w14:paraId="3D756A29" w14:textId="34057A40" w:rsidR="008423E4" w:rsidRPr="00861995" w:rsidRDefault="00AC5A32" w:rsidP="00090626">
            <w:pPr>
              <w:jc w:val="right"/>
            </w:pPr>
            <w:r>
              <w:t xml:space="preserve">By: </w:t>
            </w:r>
            <w:r w:rsidR="00B67196">
              <w:t>Bettencourt</w:t>
            </w:r>
          </w:p>
        </w:tc>
      </w:tr>
      <w:tr w:rsidR="00C93AF3" w14:paraId="36263CCF" w14:textId="77777777" w:rsidTr="00345119">
        <w:tc>
          <w:tcPr>
            <w:tcW w:w="9576" w:type="dxa"/>
          </w:tcPr>
          <w:p w14:paraId="47BCEEE9" w14:textId="289AB147" w:rsidR="008423E4" w:rsidRPr="00861995" w:rsidRDefault="00AC5A32" w:rsidP="00090626">
            <w:pPr>
              <w:jc w:val="right"/>
            </w:pPr>
            <w:r>
              <w:t>Elections</w:t>
            </w:r>
          </w:p>
        </w:tc>
      </w:tr>
      <w:tr w:rsidR="00C93AF3" w14:paraId="7C10D6D7" w14:textId="77777777" w:rsidTr="00345119">
        <w:tc>
          <w:tcPr>
            <w:tcW w:w="9576" w:type="dxa"/>
          </w:tcPr>
          <w:p w14:paraId="73F794B5" w14:textId="1E7636E8" w:rsidR="008423E4" w:rsidRDefault="00AC5A32" w:rsidP="00090626">
            <w:pPr>
              <w:jc w:val="right"/>
            </w:pPr>
            <w:r>
              <w:t>Committee Report (Substituted)</w:t>
            </w:r>
          </w:p>
        </w:tc>
      </w:tr>
    </w:tbl>
    <w:p w14:paraId="2D0EF64F" w14:textId="77777777" w:rsidR="008423E4" w:rsidRPr="00F26E77" w:rsidRDefault="008423E4" w:rsidP="00090626">
      <w:pPr>
        <w:tabs>
          <w:tab w:val="right" w:pos="9360"/>
        </w:tabs>
        <w:rPr>
          <w:sz w:val="20"/>
          <w:szCs w:val="20"/>
        </w:rPr>
      </w:pPr>
    </w:p>
    <w:p w14:paraId="320C0672" w14:textId="77777777" w:rsidR="008423E4" w:rsidRPr="00F26E77" w:rsidRDefault="008423E4" w:rsidP="00090626">
      <w:pPr>
        <w:rPr>
          <w:sz w:val="20"/>
          <w:szCs w:val="20"/>
        </w:rPr>
      </w:pPr>
    </w:p>
    <w:p w14:paraId="126023C6" w14:textId="77777777" w:rsidR="008423E4" w:rsidRPr="00F26E77" w:rsidRDefault="008423E4" w:rsidP="0009062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3AF3" w14:paraId="73C1830A" w14:textId="77777777" w:rsidTr="00CE5EC0">
        <w:tc>
          <w:tcPr>
            <w:tcW w:w="9360" w:type="dxa"/>
          </w:tcPr>
          <w:p w14:paraId="0D492D0A" w14:textId="77777777" w:rsidR="008423E4" w:rsidRPr="00A8133F" w:rsidRDefault="00AC5A32" w:rsidP="0009062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517E65" w14:textId="77777777" w:rsidR="008423E4" w:rsidRDefault="008423E4" w:rsidP="00090626"/>
          <w:p w14:paraId="7CB9626A" w14:textId="3BBC8E7E" w:rsidR="0055012A" w:rsidRDefault="00AC5A32" w:rsidP="00090626">
            <w:pPr>
              <w:pStyle w:val="Header"/>
              <w:jc w:val="both"/>
            </w:pPr>
            <w:r w:rsidRPr="00925A1B">
              <w:t xml:space="preserve">Under current law, </w:t>
            </w:r>
            <w:r w:rsidR="00554151">
              <w:t xml:space="preserve">election contests can be used to remedy </w:t>
            </w:r>
            <w:r w:rsidRPr="00925A1B">
              <w:t>election irregularities</w:t>
            </w:r>
            <w:r w:rsidR="00554151">
              <w:t>. Since most election results are not contest</w:t>
            </w:r>
            <w:r w:rsidR="00EA3985">
              <w:t>ed</w:t>
            </w:r>
            <w:r w:rsidR="00554151">
              <w:t xml:space="preserve">, Texans often go without explanations to election irregularities.  </w:t>
            </w:r>
            <w:r w:rsidR="00ED222B">
              <w:t xml:space="preserve">Tarrant County serves as an example of Texans seeking explanations, as three </w:t>
            </w:r>
            <w:r w:rsidR="00AB04EB">
              <w:t xml:space="preserve">officials in </w:t>
            </w:r>
            <w:r w:rsidR="00ED222B">
              <w:t>Tarrant County launched a taskforce dedicated to investigating voter fraud</w:t>
            </w:r>
            <w:r w:rsidRPr="00925A1B">
              <w:t>.</w:t>
            </w:r>
            <w:r>
              <w:t xml:space="preserve"> </w:t>
            </w:r>
          </w:p>
          <w:p w14:paraId="3D7A5706" w14:textId="77777777" w:rsidR="0055012A" w:rsidRDefault="0055012A" w:rsidP="00090626">
            <w:pPr>
              <w:pStyle w:val="Header"/>
              <w:jc w:val="both"/>
            </w:pPr>
          </w:p>
          <w:p w14:paraId="02EE4EC5" w14:textId="05831E5F" w:rsidR="000E15E3" w:rsidRDefault="00AC5A32" w:rsidP="00090626">
            <w:pPr>
              <w:pStyle w:val="Header"/>
              <w:jc w:val="both"/>
            </w:pPr>
            <w:r>
              <w:t>C.S.</w:t>
            </w:r>
            <w:r w:rsidR="00925A1B" w:rsidRPr="00925A1B">
              <w:t xml:space="preserve">S.B. 1039 seeks to </w:t>
            </w:r>
            <w:r w:rsidR="00DE2D0A">
              <w:t xml:space="preserve">address </w:t>
            </w:r>
            <w:r w:rsidR="00ED222B">
              <w:t>this desire for explanation</w:t>
            </w:r>
            <w:r w:rsidR="00DE2D0A">
              <w:t xml:space="preserve"> by </w:t>
            </w:r>
            <w:r w:rsidR="00554151">
              <w:t>establishing a process for certain individuals to obtain an explanation and supporting documentation for election irregularities.</w:t>
            </w:r>
            <w:r w:rsidR="00ED222B">
              <w:t xml:space="preserve"> </w:t>
            </w:r>
            <w:r w:rsidR="0092595B">
              <w:t>Under the bill's provisions, i</w:t>
            </w:r>
            <w:r w:rsidR="00554151">
              <w:t xml:space="preserve">f the explanation provided by the authority conducting the election is </w:t>
            </w:r>
            <w:r w:rsidR="0092595B">
              <w:t xml:space="preserve">determined to be </w:t>
            </w:r>
            <w:r w:rsidR="00554151">
              <w:t>unsatisfactory</w:t>
            </w:r>
            <w:r>
              <w:t xml:space="preserve">, </w:t>
            </w:r>
            <w:r w:rsidR="00ED222B">
              <w:t xml:space="preserve">the requestor can ask the secretary of state for an audit. </w:t>
            </w:r>
            <w:r w:rsidR="0092595B">
              <w:t>The secretary of state would then determine if an audit is needed and conduct an audit accordingly</w:t>
            </w:r>
            <w:r w:rsidR="00554151">
              <w:t xml:space="preserve">. </w:t>
            </w:r>
            <w:r w:rsidR="0092595B">
              <w:t>T</w:t>
            </w:r>
            <w:r w:rsidR="00554151">
              <w:t>he bill</w:t>
            </w:r>
            <w:r>
              <w:t xml:space="preserve"> authorizes the secretary of state to a</w:t>
            </w:r>
            <w:r>
              <w:t>ddress an election violation</w:t>
            </w:r>
            <w:r w:rsidR="0092595B">
              <w:t xml:space="preserve"> discovered during the process by bringing </w:t>
            </w:r>
            <w:r w:rsidR="006A62D3">
              <w:t xml:space="preserve">about a </w:t>
            </w:r>
            <w:r w:rsidR="0092595B">
              <w:t>remedy to the violation</w:t>
            </w:r>
            <w:r>
              <w:t>, assess</w:t>
            </w:r>
            <w:r w:rsidR="0092595B">
              <w:t>ing</w:t>
            </w:r>
            <w:r>
              <w:t xml:space="preserve"> civil penalties</w:t>
            </w:r>
            <w:r w:rsidR="0092595B">
              <w:t>,</w:t>
            </w:r>
            <w:r>
              <w:t xml:space="preserve"> and maintain</w:t>
            </w:r>
            <w:r w:rsidR="0092595B">
              <w:t>ing</w:t>
            </w:r>
            <w:r>
              <w:t xml:space="preserve"> a record of election authorities who have been asses</w:t>
            </w:r>
            <w:r w:rsidR="006A62D3">
              <w:t>sed</w:t>
            </w:r>
            <w:r>
              <w:t xml:space="preserve"> a </w:t>
            </w:r>
            <w:r w:rsidR="00DB30AA">
              <w:t xml:space="preserve">civil </w:t>
            </w:r>
            <w:r>
              <w:t>penalty, or appoint</w:t>
            </w:r>
            <w:r w:rsidR="00DB30AA">
              <w:t>ing</w:t>
            </w:r>
            <w:r>
              <w:t xml:space="preserve"> a conservator to oversee elections in the applicable county for two federal election cycles. </w:t>
            </w:r>
            <w:r w:rsidR="00DB30AA">
              <w:t>The bill also authorizes the attorney general to bring an action to recover an unpaid civil penalty.</w:t>
            </w:r>
          </w:p>
          <w:p w14:paraId="6DDA88DD" w14:textId="77777777" w:rsidR="008423E4" w:rsidRPr="00E26B13" w:rsidRDefault="008423E4" w:rsidP="00090626">
            <w:pPr>
              <w:pStyle w:val="Header"/>
              <w:jc w:val="both"/>
              <w:rPr>
                <w:b/>
              </w:rPr>
            </w:pPr>
          </w:p>
        </w:tc>
      </w:tr>
      <w:tr w:rsidR="00C93AF3" w14:paraId="53CC649A" w14:textId="77777777" w:rsidTr="00CE5EC0">
        <w:tc>
          <w:tcPr>
            <w:tcW w:w="9360" w:type="dxa"/>
          </w:tcPr>
          <w:p w14:paraId="61CD011B" w14:textId="77777777" w:rsidR="0017725B" w:rsidRDefault="00AC5A32" w:rsidP="000906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B046FF" w14:textId="77777777" w:rsidR="0017725B" w:rsidRDefault="0017725B" w:rsidP="00090626">
            <w:pPr>
              <w:rPr>
                <w:b/>
                <w:u w:val="single"/>
              </w:rPr>
            </w:pPr>
          </w:p>
          <w:p w14:paraId="590E6B8A" w14:textId="77777777" w:rsidR="0017725B" w:rsidRDefault="00AC5A32" w:rsidP="00090626">
            <w:pPr>
              <w:jc w:val="both"/>
            </w:pPr>
            <w:r>
              <w:t>It is the committee's opinion that</w:t>
            </w:r>
            <w:r>
              <w:t xml:space="preserve">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3B6CDF" w14:textId="545B9921" w:rsidR="00952BB2" w:rsidRPr="0017725B" w:rsidRDefault="00952BB2" w:rsidP="00090626">
            <w:pPr>
              <w:jc w:val="both"/>
              <w:rPr>
                <w:b/>
                <w:u w:val="single"/>
              </w:rPr>
            </w:pPr>
          </w:p>
        </w:tc>
      </w:tr>
      <w:tr w:rsidR="00C93AF3" w14:paraId="6FE2CF18" w14:textId="77777777" w:rsidTr="00CE5EC0">
        <w:tc>
          <w:tcPr>
            <w:tcW w:w="9360" w:type="dxa"/>
          </w:tcPr>
          <w:p w14:paraId="633C4D9F" w14:textId="77777777" w:rsidR="008423E4" w:rsidRPr="00A8133F" w:rsidRDefault="00AC5A32" w:rsidP="000906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</w:t>
            </w:r>
            <w:r w:rsidRPr="009C1E9A">
              <w:rPr>
                <w:b/>
                <w:u w:val="single"/>
              </w:rPr>
              <w:t>RITY</w:t>
            </w:r>
            <w:r>
              <w:rPr>
                <w:b/>
              </w:rPr>
              <w:t xml:space="preserve"> </w:t>
            </w:r>
          </w:p>
          <w:p w14:paraId="1B7AB943" w14:textId="77777777" w:rsidR="008423E4" w:rsidRDefault="008423E4" w:rsidP="00090626"/>
          <w:p w14:paraId="5B1C3DB1" w14:textId="77777777" w:rsidR="008423E4" w:rsidRDefault="00AC5A32" w:rsidP="000906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7840C91" w14:textId="19408432" w:rsidR="00952BB2" w:rsidRPr="00E21FDC" w:rsidRDefault="00952BB2" w:rsidP="0009062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3AF3" w14:paraId="64EB68F9" w14:textId="77777777" w:rsidTr="00CE5EC0">
        <w:tc>
          <w:tcPr>
            <w:tcW w:w="9360" w:type="dxa"/>
          </w:tcPr>
          <w:p w14:paraId="6B2FC34D" w14:textId="77777777" w:rsidR="008423E4" w:rsidRPr="00A8133F" w:rsidRDefault="00AC5A32" w:rsidP="000906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645D48" w14:textId="77777777" w:rsidR="008423E4" w:rsidRDefault="008423E4" w:rsidP="00090626"/>
          <w:p w14:paraId="7F5B53D1" w14:textId="786684B1" w:rsidR="009C36CD" w:rsidRDefault="00AC5A32" w:rsidP="00090626">
            <w:pPr>
              <w:pStyle w:val="Header"/>
              <w:jc w:val="both"/>
            </w:pPr>
            <w:r>
              <w:t xml:space="preserve">C.S.S.B. 1039 amends the Election Code </w:t>
            </w:r>
            <w:r w:rsidR="00541104">
              <w:t xml:space="preserve">to </w:t>
            </w:r>
            <w:r>
              <w:t>authorize a person participating in a</w:t>
            </w:r>
            <w:r w:rsidR="00925A1B">
              <w:t>n</w:t>
            </w:r>
            <w:r>
              <w:t xml:space="preserve"> election as a candidate, county chair or state chair of a political party, presiding judge, alternate presiding judge</w:t>
            </w:r>
            <w:r w:rsidR="00541104">
              <w:t>,</w:t>
            </w:r>
            <w:r>
              <w:t xml:space="preserve"> or head of a specific-purpose political committee that s</w:t>
            </w:r>
            <w:r>
              <w:t xml:space="preserve">upports or opposes a ballot measure to </w:t>
            </w:r>
            <w:r w:rsidRPr="00E62FAF">
              <w:t xml:space="preserve">issue a written request to the county clerk or other authority conducting </w:t>
            </w:r>
            <w:r w:rsidR="007661AC">
              <w:t>the relevant</w:t>
            </w:r>
            <w:r w:rsidR="007661AC" w:rsidRPr="00E62FAF">
              <w:t xml:space="preserve"> </w:t>
            </w:r>
            <w:r w:rsidRPr="00E62FAF">
              <w:t>election for an explanation and supporting documentation for</w:t>
            </w:r>
            <w:r>
              <w:t xml:space="preserve"> the following:</w:t>
            </w:r>
          </w:p>
          <w:p w14:paraId="53F85BFA" w14:textId="7E985F07" w:rsidR="00CE5EC0" w:rsidRDefault="00AC5A32" w:rsidP="0009062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action taken by an election officer that appears to</w:t>
            </w:r>
            <w:r>
              <w:t xml:space="preserve"> violate </w:t>
            </w:r>
            <w:r w:rsidR="002646FA">
              <w:t>t</w:t>
            </w:r>
            <w:r w:rsidR="007661AC">
              <w:t>he Election C</w:t>
            </w:r>
            <w:r>
              <w:t>ode;</w:t>
            </w:r>
          </w:p>
          <w:p w14:paraId="2219EC77" w14:textId="6159D2F0" w:rsidR="00CE5EC0" w:rsidRDefault="00AC5A32" w:rsidP="0009062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irregularities in results in a precinct or at a polling place or early voting polling place;</w:t>
            </w:r>
          </w:p>
          <w:p w14:paraId="700BF0B9" w14:textId="36828ACD" w:rsidR="00CE5EC0" w:rsidRDefault="00AC5A32" w:rsidP="0009062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inadequacy or irregularity of documentation required to be maintained under </w:t>
            </w:r>
            <w:r w:rsidR="00FC7DB5">
              <w:t xml:space="preserve">the </w:t>
            </w:r>
            <w:r>
              <w:t>code; or</w:t>
            </w:r>
          </w:p>
          <w:p w14:paraId="453319F9" w14:textId="2E6A5167" w:rsidR="00CE5EC0" w:rsidRDefault="00AC5A32" w:rsidP="0009062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discrepancies in the results of a </w:t>
            </w:r>
            <w:r>
              <w:t>reconciliation of ballots between the number of voters and the number of votes cast.</w:t>
            </w:r>
          </w:p>
          <w:p w14:paraId="3FC19CC8" w14:textId="512E6253" w:rsidR="00CE5EC0" w:rsidRDefault="00AC5A32" w:rsidP="00090626">
            <w:pPr>
              <w:pStyle w:val="Header"/>
              <w:jc w:val="both"/>
            </w:pPr>
            <w:r>
              <w:t xml:space="preserve">The bill authorizes a person to make such request </w:t>
            </w:r>
            <w:r w:rsidRPr="000B6669">
              <w:t>only for an election held on or after the</w:t>
            </w:r>
            <w:r>
              <w:t xml:space="preserve"> </w:t>
            </w:r>
            <w:r w:rsidR="00541104">
              <w:t>bill's</w:t>
            </w:r>
            <w:r w:rsidR="00541104" w:rsidRPr="000B6669">
              <w:t xml:space="preserve"> </w:t>
            </w:r>
            <w:r w:rsidRPr="000B6669">
              <w:t>effective date</w:t>
            </w:r>
            <w:r>
              <w:t xml:space="preserve">. The bill requires </w:t>
            </w:r>
            <w:r w:rsidR="00372084">
              <w:t>the election</w:t>
            </w:r>
            <w:r w:rsidRPr="00CE5EC0">
              <w:t xml:space="preserve"> authority</w:t>
            </w:r>
            <w:r>
              <w:t xml:space="preserve"> to </w:t>
            </w:r>
            <w:r w:rsidRPr="00CE5EC0">
              <w:t xml:space="preserve">provide the </w:t>
            </w:r>
            <w:r w:rsidRPr="00CE5EC0">
              <w:t>requested explanation and any supporting documentation</w:t>
            </w:r>
            <w:r>
              <w:t xml:space="preserve"> not l</w:t>
            </w:r>
            <w:r w:rsidRPr="00CE5EC0">
              <w:t>ater than the 20th day after the date a request is received</w:t>
            </w:r>
            <w:r>
              <w:t xml:space="preserve">. </w:t>
            </w:r>
          </w:p>
          <w:p w14:paraId="6ADD5F0E" w14:textId="499499D1" w:rsidR="00CE5EC0" w:rsidRDefault="00CE5EC0" w:rsidP="00090626">
            <w:pPr>
              <w:pStyle w:val="Header"/>
              <w:jc w:val="both"/>
            </w:pPr>
          </w:p>
          <w:p w14:paraId="3BE722C8" w14:textId="4D852D80" w:rsidR="00CE5EC0" w:rsidRDefault="00AC5A32" w:rsidP="00090626">
            <w:pPr>
              <w:pStyle w:val="Header"/>
              <w:jc w:val="both"/>
            </w:pPr>
            <w:r>
              <w:t xml:space="preserve">C.S.S.B. 1039 authorizes a </w:t>
            </w:r>
            <w:r w:rsidRPr="00CE5EC0">
              <w:t xml:space="preserve">requestor who is not satisfied with </w:t>
            </w:r>
            <w:r>
              <w:t>such</w:t>
            </w:r>
            <w:r w:rsidRPr="00CE5EC0">
              <w:t xml:space="preserve"> explanation and supporting documentation</w:t>
            </w:r>
            <w:r>
              <w:t xml:space="preserve"> to </w:t>
            </w:r>
            <w:r w:rsidRPr="00CE5EC0">
              <w:t>issue a request for f</w:t>
            </w:r>
            <w:r w:rsidRPr="00CE5EC0">
              <w:t>urther explanation and supporting documentation to the county clerk or other authority</w:t>
            </w:r>
            <w:r>
              <w:t xml:space="preserve">. The bill requires a </w:t>
            </w:r>
            <w:r w:rsidRPr="00CE5EC0">
              <w:t>county clerk or other authority</w:t>
            </w:r>
            <w:r>
              <w:t xml:space="preserve"> to provide the additional requested </w:t>
            </w:r>
            <w:r w:rsidRPr="00CE5EC0">
              <w:t>explanation and any supporting documentation</w:t>
            </w:r>
            <w:r>
              <w:t xml:space="preserve"> not </w:t>
            </w:r>
            <w:r w:rsidRPr="00CE5EC0">
              <w:t>later than the 10th day after t</w:t>
            </w:r>
            <w:r w:rsidRPr="00CE5EC0">
              <w:t>he date a request is received</w:t>
            </w:r>
            <w:r>
              <w:t>.</w:t>
            </w:r>
            <w:r w:rsidR="00EA5C2A">
              <w:t xml:space="preserve"> If the requestor is not satisfied with the additional explanation and supporting documentation, the requestor may</w:t>
            </w:r>
            <w:r w:rsidR="007E2D59" w:rsidRPr="007E2D59">
              <w:t xml:space="preserve"> </w:t>
            </w:r>
            <w:r w:rsidR="00EA5C2A">
              <w:t xml:space="preserve">issue </w:t>
            </w:r>
            <w:r w:rsidR="007E2D59" w:rsidRPr="007E2D59">
              <w:t xml:space="preserve">a request for an audit </w:t>
            </w:r>
            <w:r w:rsidR="00EA5C2A">
              <w:t xml:space="preserve">of the issue </w:t>
            </w:r>
            <w:r w:rsidR="007E2D59" w:rsidRPr="007E2D59">
              <w:t>to the secretary of state for investigation</w:t>
            </w:r>
            <w:r w:rsidR="00EA5C2A">
              <w:t>.</w:t>
            </w:r>
            <w:r w:rsidR="007E2D59">
              <w:t xml:space="preserve"> </w:t>
            </w:r>
            <w:r w:rsidR="006E505F">
              <w:t xml:space="preserve">The bill requires the </w:t>
            </w:r>
            <w:r w:rsidR="00AB04EB">
              <w:t xml:space="preserve">request for an </w:t>
            </w:r>
            <w:r w:rsidR="006E505F">
              <w:t xml:space="preserve">audit to </w:t>
            </w:r>
            <w:r w:rsidR="007E2D59">
              <w:t>include copies of the following:</w:t>
            </w:r>
          </w:p>
          <w:p w14:paraId="71B285DC" w14:textId="48E3C9C7" w:rsidR="007E2D59" w:rsidRDefault="00AC5A32" w:rsidP="0009062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requests made by the person to the county clerk or other authority conducting the election; and</w:t>
            </w:r>
          </w:p>
          <w:p w14:paraId="3163B01A" w14:textId="1AF3687D" w:rsidR="007E2D59" w:rsidRDefault="00AC5A32" w:rsidP="00090626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the explanations and any supporting documentation provided by the county clerk or other authority to </w:t>
            </w:r>
            <w:r>
              <w:t>the person.</w:t>
            </w:r>
          </w:p>
          <w:p w14:paraId="06FC534A" w14:textId="29E9896C" w:rsidR="007E2D59" w:rsidRDefault="00AC5A32" w:rsidP="00090626">
            <w:pPr>
              <w:pStyle w:val="Header"/>
              <w:jc w:val="both"/>
            </w:pPr>
            <w:r>
              <w:t>The bill requires the secretary of state</w:t>
            </w:r>
            <w:r w:rsidR="006E505F">
              <w:t>, not later than the 30th day after the date the secretary receives</w:t>
            </w:r>
            <w:r w:rsidR="003E5116">
              <w:t xml:space="preserve"> that information,</w:t>
            </w:r>
            <w:r>
              <w:t xml:space="preserve"> to </w:t>
            </w:r>
            <w:r w:rsidRPr="007E2D59">
              <w:t>determine whether</w:t>
            </w:r>
            <w:r>
              <w:t xml:space="preserve"> </w:t>
            </w:r>
            <w:r w:rsidR="003E5116">
              <w:t xml:space="preserve">the </w:t>
            </w:r>
            <w:r>
              <w:t xml:space="preserve">submitted </w:t>
            </w:r>
            <w:r w:rsidRPr="007E2D59">
              <w:t>information sufficiently explains the</w:t>
            </w:r>
            <w:r>
              <w:t xml:space="preserve"> identified</w:t>
            </w:r>
            <w:r w:rsidRPr="007E2D59">
              <w:t xml:space="preserve"> irregularity</w:t>
            </w:r>
            <w:r>
              <w:t xml:space="preserve">. If the information is insufficient, the bill requires the secretary of state to </w:t>
            </w:r>
            <w:r w:rsidRPr="007E2D59">
              <w:t>immediately begin an audit of the identified irregularity at the expense of the county or other authority conducting the election.</w:t>
            </w:r>
            <w:r>
              <w:t xml:space="preserve"> </w:t>
            </w:r>
            <w:r w:rsidR="003B731B">
              <w:t>The</w:t>
            </w:r>
            <w:r>
              <w:t xml:space="preserve"> c</w:t>
            </w:r>
            <w:r w:rsidRPr="007E2D59">
              <w:t xml:space="preserve">ounty clerk or other </w:t>
            </w:r>
            <w:r w:rsidR="00B22AD8">
              <w:t xml:space="preserve">such </w:t>
            </w:r>
            <w:r w:rsidRPr="007E2D59">
              <w:t xml:space="preserve">authority </w:t>
            </w:r>
            <w:r w:rsidR="003B731B">
              <w:t>is required to</w:t>
            </w:r>
            <w:r w:rsidR="003B731B" w:rsidRPr="007E2D59">
              <w:t xml:space="preserve"> </w:t>
            </w:r>
            <w:r w:rsidRPr="007E2D59">
              <w:t>cooperate with the office of the secretary of state and may not interfere with or obstruct the audit.</w:t>
            </w:r>
          </w:p>
          <w:p w14:paraId="61FB66A4" w14:textId="13AB3C8A" w:rsidR="007E2D59" w:rsidRDefault="007E2D59" w:rsidP="00090626">
            <w:pPr>
              <w:pStyle w:val="Header"/>
              <w:jc w:val="both"/>
            </w:pPr>
          </w:p>
          <w:p w14:paraId="6AFF1C8B" w14:textId="1B63EDA2" w:rsidR="009C2E8F" w:rsidRDefault="00AC5A32" w:rsidP="00090626">
            <w:pPr>
              <w:pStyle w:val="Header"/>
              <w:jc w:val="both"/>
            </w:pPr>
            <w:r>
              <w:t>C.S.S.B. 1039</w:t>
            </w:r>
            <w:r w:rsidR="00BE2FE2">
              <w:t xml:space="preserve"> provides that, on the conclusion of the audit:</w:t>
            </w:r>
          </w:p>
          <w:p w14:paraId="2B3E2F55" w14:textId="11523FBD" w:rsidR="007E2D59" w:rsidRDefault="00AC5A32" w:rsidP="00090626">
            <w:pPr>
              <w:pStyle w:val="Header"/>
              <w:numPr>
                <w:ilvl w:val="0"/>
                <w:numId w:val="5"/>
              </w:numPr>
              <w:jc w:val="both"/>
            </w:pPr>
            <w:r w:rsidRPr="007E2D59">
              <w:t>the secretary of state</w:t>
            </w:r>
            <w:r>
              <w:t xml:space="preserve"> </w:t>
            </w:r>
            <w:r w:rsidR="00BE2FE2">
              <w:t>must</w:t>
            </w:r>
            <w:r>
              <w:t xml:space="preserve"> </w:t>
            </w:r>
            <w:r w:rsidRPr="007E2D59">
              <w:t xml:space="preserve">provide notice of the findings of the audit to the </w:t>
            </w:r>
            <w:r>
              <w:t>requestor and</w:t>
            </w:r>
            <w:r w:rsidRPr="007E2D59">
              <w:t xml:space="preserve"> the county clerk or other authority conducting the election</w:t>
            </w:r>
            <w:r w:rsidR="009C2E8F">
              <w:t>; and</w:t>
            </w:r>
          </w:p>
          <w:p w14:paraId="55E7A2DB" w14:textId="79CCC532" w:rsidR="009C2E8F" w:rsidRDefault="00AC5A32" w:rsidP="00090626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if the secretary </w:t>
            </w:r>
            <w:r w:rsidRPr="009C2E8F">
              <w:t xml:space="preserve">determines that a violation has occurred, </w:t>
            </w:r>
            <w:r>
              <w:t>the secretary may</w:t>
            </w:r>
            <w:r w:rsidRPr="009C2E8F">
              <w:t xml:space="preserve"> appoint a conservator to oversee elections in the</w:t>
            </w:r>
            <w:r w:rsidRPr="009C2E8F">
              <w:t xml:space="preserve"> county where the violation occurred </w:t>
            </w:r>
            <w:r>
              <w:t>to</w:t>
            </w:r>
            <w:r w:rsidRPr="009C2E8F">
              <w:t xml:space="preserve"> serve for two federal election cycles. </w:t>
            </w:r>
          </w:p>
          <w:p w14:paraId="7BBF2074" w14:textId="3EAEE082" w:rsidR="009C2E8F" w:rsidRDefault="00AC5A32" w:rsidP="00090626">
            <w:pPr>
              <w:pStyle w:val="Header"/>
              <w:jc w:val="both"/>
            </w:pPr>
            <w:r w:rsidRPr="009C2E8F">
              <w:t>The bill requires a county for which a conservator is appointed to pay the costs of providing the conservator, including the salary and benefits of the conservator.</w:t>
            </w:r>
          </w:p>
          <w:p w14:paraId="5BF41C5C" w14:textId="3EF0E12B" w:rsidR="007E2D59" w:rsidRDefault="007E2D59" w:rsidP="00090626">
            <w:pPr>
              <w:pStyle w:val="Header"/>
              <w:jc w:val="both"/>
            </w:pPr>
          </w:p>
          <w:p w14:paraId="5A530F26" w14:textId="59A3E3F6" w:rsidR="00B55E39" w:rsidRDefault="00AC5A32" w:rsidP="00090626">
            <w:pPr>
              <w:pStyle w:val="Header"/>
              <w:jc w:val="both"/>
            </w:pPr>
            <w:r>
              <w:t>C.S.S.B. 1</w:t>
            </w:r>
            <w:r>
              <w:t xml:space="preserve">039 </w:t>
            </w:r>
            <w:r w:rsidR="007E2D59">
              <w:t xml:space="preserve">authorizes the secretary of state, at </w:t>
            </w:r>
            <w:r w:rsidR="003B731B">
              <w:t xml:space="preserve">the secretary's </w:t>
            </w:r>
            <w:r w:rsidR="007E2D59">
              <w:t xml:space="preserve">discretion, to </w:t>
            </w:r>
            <w:r w:rsidRPr="00B55E39">
              <w:t>make a determination that a violation of</w:t>
            </w:r>
            <w:r>
              <w:t xml:space="preserve"> the Election Code </w:t>
            </w:r>
            <w:r w:rsidRPr="00B55E39">
              <w:t xml:space="preserve">has occurred solely on the basis of </w:t>
            </w:r>
            <w:r>
              <w:t xml:space="preserve">submitted </w:t>
            </w:r>
            <w:r w:rsidRPr="00B55E39">
              <w:t>evidence without conducting an audit.</w:t>
            </w:r>
            <w:r>
              <w:t xml:space="preserve"> The bill requires the secretary of state</w:t>
            </w:r>
            <w:r>
              <w:t xml:space="preserve"> to </w:t>
            </w:r>
            <w:r w:rsidRPr="00B55E39">
              <w:t>send notice of the determination to the person who submitted the request for the audit and to the county clerk or other authority conducting the election.</w:t>
            </w:r>
          </w:p>
          <w:p w14:paraId="21352173" w14:textId="75EB98DE" w:rsidR="00B55E39" w:rsidRDefault="00B55E39" w:rsidP="00090626">
            <w:pPr>
              <w:pStyle w:val="Header"/>
              <w:jc w:val="both"/>
            </w:pPr>
          </w:p>
          <w:p w14:paraId="2B1F3865" w14:textId="74F02F34" w:rsidR="00B55E39" w:rsidRDefault="00AC5A32" w:rsidP="00090626">
            <w:pPr>
              <w:pStyle w:val="Header"/>
              <w:jc w:val="both"/>
            </w:pPr>
            <w:r>
              <w:t xml:space="preserve">C.S.S.B. 1039 requires the secretary of state to </w:t>
            </w:r>
            <w:r w:rsidRPr="00B55E39">
              <w:t>provide special notice to the county clerk or o</w:t>
            </w:r>
            <w:r w:rsidRPr="00B55E39">
              <w:t>ther authority conducting an election detailing any violation of t</w:t>
            </w:r>
            <w:r>
              <w:t>he Election</w:t>
            </w:r>
            <w:r w:rsidRPr="00B55E39">
              <w:t xml:space="preserve"> </w:t>
            </w:r>
            <w:r>
              <w:t>C</w:t>
            </w:r>
            <w:r w:rsidRPr="00B55E39">
              <w:t>ode found by the secretary</w:t>
            </w:r>
            <w:r>
              <w:t xml:space="preserve"> of state</w:t>
            </w:r>
            <w:r w:rsidR="009C2E8F">
              <w:t xml:space="preserve"> in addition to the notice of the audit findings</w:t>
            </w:r>
            <w:r>
              <w:t>. The bill requires the secretary of state</w:t>
            </w:r>
            <w:r w:rsidR="00210F95">
              <w:t>, i</w:t>
            </w:r>
            <w:r w:rsidR="00210F95" w:rsidRPr="00210F95">
              <w:t xml:space="preserve">f the county clerk or other </w:t>
            </w:r>
            <w:r w:rsidR="00210F95">
              <w:t xml:space="preserve">election </w:t>
            </w:r>
            <w:r w:rsidR="00210F95" w:rsidRPr="00210F95">
              <w:t>authority does not remedy a violation by the 30th day after receiv</w:t>
            </w:r>
            <w:r w:rsidR="00210F95">
              <w:t>ing</w:t>
            </w:r>
            <w:r w:rsidR="00210F95" w:rsidRPr="00210F95">
              <w:t xml:space="preserve"> notice,</w:t>
            </w:r>
            <w:r w:rsidR="00210F95">
              <w:t xml:space="preserve"> to </w:t>
            </w:r>
            <w:r w:rsidR="00210F95" w:rsidRPr="00210F95">
              <w:t>assess a civil penalty of $500 for each violation not remedied and, if possible, remedy the violation on behalf of the county clerk or other authority.</w:t>
            </w:r>
            <w:r w:rsidR="009D3E0A">
              <w:t xml:space="preserve"> If unable to </w:t>
            </w:r>
            <w:r w:rsidR="009D3E0A" w:rsidRPr="00210F95">
              <w:t>remedy the violation on behalf of the county clerk or other authority,</w:t>
            </w:r>
            <w:r w:rsidR="009D3E0A">
              <w:t xml:space="preserve"> the secretary </w:t>
            </w:r>
            <w:r w:rsidR="00DB5264">
              <w:t xml:space="preserve">of state </w:t>
            </w:r>
            <w:r w:rsidR="00BE2FE2">
              <w:t>must</w:t>
            </w:r>
            <w:r w:rsidR="009D3E0A">
              <w:t xml:space="preserve"> assess a</w:t>
            </w:r>
            <w:r w:rsidR="009D3E0A" w:rsidRPr="00210F95">
              <w:t>n additional penalty</w:t>
            </w:r>
            <w:r w:rsidR="009D3E0A">
              <w:t xml:space="preserve"> </w:t>
            </w:r>
            <w:r w:rsidR="009D3E0A" w:rsidRPr="00210F95">
              <w:t xml:space="preserve">for each day the county clerk or other authority does not remedy the violation </w:t>
            </w:r>
            <w:r w:rsidR="009D3E0A">
              <w:t xml:space="preserve">until the violation is </w:t>
            </w:r>
            <w:r w:rsidR="00554151">
              <w:t>remedied</w:t>
            </w:r>
            <w:r w:rsidR="009D3E0A">
              <w:t xml:space="preserve">. </w:t>
            </w:r>
            <w:r w:rsidR="00210F95">
              <w:t xml:space="preserve">The bill specifies that such </w:t>
            </w:r>
            <w:r w:rsidR="009C2E8F">
              <w:t xml:space="preserve">a </w:t>
            </w:r>
            <w:r w:rsidR="00210F95">
              <w:t xml:space="preserve">remedy is </w:t>
            </w:r>
            <w:r w:rsidR="009C2E8F">
              <w:t>i</w:t>
            </w:r>
            <w:r w:rsidR="00210F95" w:rsidRPr="00210F95">
              <w:t>n addition to any other remedy available under law for a violation of th</w:t>
            </w:r>
            <w:r w:rsidR="00210F95">
              <w:t>e Election</w:t>
            </w:r>
            <w:r w:rsidR="00210F95" w:rsidRPr="00210F95">
              <w:t xml:space="preserve"> </w:t>
            </w:r>
            <w:r w:rsidR="00210F95">
              <w:t>C</w:t>
            </w:r>
            <w:r w:rsidR="00210F95" w:rsidRPr="00210F95">
              <w:t>ode.</w:t>
            </w:r>
            <w:r w:rsidR="009D3E0A">
              <w:t xml:space="preserve"> </w:t>
            </w:r>
          </w:p>
          <w:p w14:paraId="3EB726E6" w14:textId="135C1701" w:rsidR="00210F95" w:rsidRDefault="00210F95" w:rsidP="00090626">
            <w:pPr>
              <w:pStyle w:val="Header"/>
              <w:jc w:val="both"/>
            </w:pPr>
          </w:p>
          <w:p w14:paraId="2A48C412" w14:textId="77777777" w:rsidR="00952BB2" w:rsidRDefault="00AC5A32" w:rsidP="00090626">
            <w:pPr>
              <w:pStyle w:val="Header"/>
              <w:jc w:val="both"/>
            </w:pPr>
            <w:r>
              <w:t xml:space="preserve">C.S.S.B. 1039 </w:t>
            </w:r>
            <w:r w:rsidR="009D3E0A">
              <w:t>authorizes the attorney general to b</w:t>
            </w:r>
            <w:r w:rsidR="009D3E0A" w:rsidRPr="00210F95">
              <w:t>ring an action to recover a</w:t>
            </w:r>
            <w:r w:rsidR="009D3E0A">
              <w:t>n unpaid</w:t>
            </w:r>
            <w:r w:rsidR="009D3E0A" w:rsidRPr="00210F95">
              <w:t xml:space="preserve"> civil penalty</w:t>
            </w:r>
            <w:r w:rsidR="009D3E0A">
              <w:t xml:space="preserve">, to </w:t>
            </w:r>
            <w:r w:rsidR="009D3E0A" w:rsidRPr="000B6669">
              <w:t>be deposited in the state treasury to the credit of the general revenue fund.</w:t>
            </w:r>
            <w:r w:rsidR="009D3E0A">
              <w:t xml:space="preserve"> The bill </w:t>
            </w:r>
            <w:r w:rsidR="00210F95">
              <w:t xml:space="preserve">requires the secretary of state to </w:t>
            </w:r>
            <w:r w:rsidR="00210F95" w:rsidRPr="00210F95">
              <w:t>maintain a record of county clerks or other authorities that conduct elections who have been assessed a civil penalty</w:t>
            </w:r>
            <w:r w:rsidR="00210F95">
              <w:t xml:space="preserve"> </w:t>
            </w:r>
            <w:r w:rsidR="009D3E0A">
              <w:t>and</w:t>
            </w:r>
            <w:r w:rsidR="00210F95">
              <w:t xml:space="preserve"> publish</w:t>
            </w:r>
            <w:r w:rsidR="009D3E0A">
              <w:t xml:space="preserve"> the record </w:t>
            </w:r>
            <w:r w:rsidR="00210F95" w:rsidRPr="00210F95">
              <w:t>on the secretary of state's website.</w:t>
            </w:r>
          </w:p>
          <w:p w14:paraId="6DAB6FC2" w14:textId="230BD460" w:rsidR="008423E4" w:rsidRPr="000B6669" w:rsidRDefault="008423E4" w:rsidP="00090626">
            <w:pPr>
              <w:pStyle w:val="Header"/>
              <w:jc w:val="both"/>
            </w:pPr>
          </w:p>
        </w:tc>
      </w:tr>
      <w:tr w:rsidR="00C93AF3" w14:paraId="6C6D3657" w14:textId="77777777" w:rsidTr="00CE5EC0">
        <w:tc>
          <w:tcPr>
            <w:tcW w:w="9360" w:type="dxa"/>
          </w:tcPr>
          <w:p w14:paraId="36271045" w14:textId="77777777" w:rsidR="008423E4" w:rsidRPr="00A8133F" w:rsidRDefault="00AC5A32" w:rsidP="000906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</w:t>
            </w:r>
            <w:r w:rsidRPr="009C1E9A">
              <w:rPr>
                <w:b/>
                <w:u w:val="single"/>
              </w:rPr>
              <w:t>IVE DATE</w:t>
            </w:r>
            <w:r>
              <w:rPr>
                <w:b/>
              </w:rPr>
              <w:t xml:space="preserve"> </w:t>
            </w:r>
          </w:p>
          <w:p w14:paraId="13A7EB8E" w14:textId="77777777" w:rsidR="008423E4" w:rsidRDefault="008423E4" w:rsidP="00090626"/>
          <w:p w14:paraId="621ACC0D" w14:textId="77777777" w:rsidR="008423E4" w:rsidRDefault="00AC5A32" w:rsidP="000906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E1CA831" w14:textId="4496A3E8" w:rsidR="00952BB2" w:rsidRPr="00F26E77" w:rsidRDefault="00952BB2" w:rsidP="0009062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3AF3" w14:paraId="6A6B729F" w14:textId="77777777" w:rsidTr="00CE5EC0">
        <w:tc>
          <w:tcPr>
            <w:tcW w:w="9360" w:type="dxa"/>
          </w:tcPr>
          <w:p w14:paraId="4DBC9C4C" w14:textId="77777777" w:rsidR="00AB04EB" w:rsidRDefault="00AC5A32" w:rsidP="000906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7C4FF2D" w14:textId="77777777" w:rsidR="00AB04EB" w:rsidRDefault="00AB04EB" w:rsidP="00090626">
            <w:pPr>
              <w:jc w:val="both"/>
            </w:pPr>
          </w:p>
          <w:p w14:paraId="3B7E4CF2" w14:textId="77777777" w:rsidR="00AB04EB" w:rsidRDefault="00AC5A32" w:rsidP="00090626">
            <w:pPr>
              <w:jc w:val="both"/>
            </w:pPr>
            <w:r>
              <w:t xml:space="preserve">While C.S.S.B. 1039 may differ from the engrossed in minor or nonsubstantive ways, the following summarizes the substantial differences between the engrossed and </w:t>
            </w:r>
            <w:r>
              <w:t>committee substitute versions of the bill.</w:t>
            </w:r>
          </w:p>
          <w:p w14:paraId="775AB375" w14:textId="77777777" w:rsidR="00AB04EB" w:rsidRDefault="00AB04EB" w:rsidP="00090626">
            <w:pPr>
              <w:jc w:val="both"/>
            </w:pPr>
          </w:p>
          <w:p w14:paraId="6DA37DA5" w14:textId="77777777" w:rsidR="00AB04EB" w:rsidRDefault="00AC5A32" w:rsidP="00090626">
            <w:pPr>
              <w:jc w:val="both"/>
              <w:rPr>
                <w:b/>
                <w:u w:val="single"/>
              </w:rPr>
            </w:pPr>
            <w:r w:rsidRPr="00C72ECF">
              <w:t xml:space="preserve">The </w:t>
            </w:r>
            <w:r>
              <w:t>substitute</w:t>
            </w:r>
            <w:r w:rsidRPr="00C72ECF">
              <w:t xml:space="preserve"> includes </w:t>
            </w:r>
            <w:r>
              <w:t xml:space="preserve">a </w:t>
            </w:r>
            <w:r w:rsidRPr="00C72ECF">
              <w:t xml:space="preserve">provision </w:t>
            </w:r>
            <w:r>
              <w:t>absent from the engrossed</w:t>
            </w:r>
            <w:r w:rsidRPr="00C72ECF">
              <w:t xml:space="preserve"> </w:t>
            </w:r>
            <w:r>
              <w:t xml:space="preserve">requiring </w:t>
            </w:r>
            <w:r w:rsidRPr="00C72ECF">
              <w:t>a county for which a conservator is appointed to pay the costs of providing the conservator, including the salary and benefits of the conser</w:t>
            </w:r>
            <w:r w:rsidRPr="00C72ECF">
              <w:t>vator.</w:t>
            </w:r>
          </w:p>
          <w:p w14:paraId="51E7E094" w14:textId="63479F71" w:rsidR="00B67196" w:rsidRDefault="00B67196" w:rsidP="00090626">
            <w:pPr>
              <w:jc w:val="both"/>
              <w:rPr>
                <w:b/>
                <w:u w:val="single"/>
              </w:rPr>
            </w:pPr>
          </w:p>
          <w:p w14:paraId="5C66AF99" w14:textId="18B77A9F" w:rsidR="00C72ECF" w:rsidRPr="00B67196" w:rsidRDefault="00C72ECF" w:rsidP="00090626">
            <w:pPr>
              <w:jc w:val="both"/>
              <w:rPr>
                <w:b/>
                <w:u w:val="single"/>
              </w:rPr>
            </w:pPr>
          </w:p>
        </w:tc>
      </w:tr>
    </w:tbl>
    <w:p w14:paraId="1F110EAF" w14:textId="77777777" w:rsidR="004108C3" w:rsidRPr="008423E4" w:rsidRDefault="004108C3" w:rsidP="0009062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9214" w14:textId="77777777" w:rsidR="00000000" w:rsidRDefault="00AC5A32">
      <w:r>
        <w:separator/>
      </w:r>
    </w:p>
  </w:endnote>
  <w:endnote w:type="continuationSeparator" w:id="0">
    <w:p w14:paraId="6D3A23A0" w14:textId="77777777" w:rsidR="00000000" w:rsidRDefault="00AC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F3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3AF3" w14:paraId="5EE5F7AC" w14:textId="77777777" w:rsidTr="009C1E9A">
      <w:trPr>
        <w:cantSplit/>
      </w:trPr>
      <w:tc>
        <w:tcPr>
          <w:tcW w:w="0" w:type="pct"/>
        </w:tcPr>
        <w:p w14:paraId="75A388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C56F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65BB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E7B2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AAD6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3AF3" w14:paraId="6DBF73B9" w14:textId="77777777" w:rsidTr="009C1E9A">
      <w:trPr>
        <w:cantSplit/>
      </w:trPr>
      <w:tc>
        <w:tcPr>
          <w:tcW w:w="0" w:type="pct"/>
        </w:tcPr>
        <w:p w14:paraId="375B5E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35AC0A" w14:textId="31BD18BB" w:rsidR="00EC379B" w:rsidRPr="009C1E9A" w:rsidRDefault="00AC5A3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31281-D</w:t>
          </w:r>
        </w:p>
      </w:tc>
      <w:tc>
        <w:tcPr>
          <w:tcW w:w="2453" w:type="pct"/>
        </w:tcPr>
        <w:p w14:paraId="7115D5FE" w14:textId="7BDBE2F4" w:rsidR="00EC379B" w:rsidRDefault="00AC5A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209F">
            <w:t>23.138.128</w:t>
          </w:r>
          <w:r>
            <w:fldChar w:fldCharType="end"/>
          </w:r>
        </w:p>
      </w:tc>
    </w:tr>
    <w:tr w:rsidR="00C93AF3" w14:paraId="2FC299B7" w14:textId="77777777" w:rsidTr="009C1E9A">
      <w:trPr>
        <w:cantSplit/>
      </w:trPr>
      <w:tc>
        <w:tcPr>
          <w:tcW w:w="0" w:type="pct"/>
        </w:tcPr>
        <w:p w14:paraId="64C7632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350054" w14:textId="7C6C77C4" w:rsidR="00EC379B" w:rsidRPr="009C1E9A" w:rsidRDefault="00AC5A3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28370</w:t>
          </w:r>
        </w:p>
      </w:tc>
      <w:tc>
        <w:tcPr>
          <w:tcW w:w="2453" w:type="pct"/>
        </w:tcPr>
        <w:p w14:paraId="1C5A72D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F400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3AF3" w14:paraId="55A16D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8FDC11" w14:textId="77777777" w:rsidR="00EC379B" w:rsidRDefault="00AC5A3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FA69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E5B63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3A5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FC7A" w14:textId="77777777" w:rsidR="00000000" w:rsidRDefault="00AC5A32">
      <w:r>
        <w:separator/>
      </w:r>
    </w:p>
  </w:footnote>
  <w:footnote w:type="continuationSeparator" w:id="0">
    <w:p w14:paraId="2DA65BDC" w14:textId="77777777" w:rsidR="00000000" w:rsidRDefault="00AC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0E3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365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D4F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A9B"/>
    <w:multiLevelType w:val="hybridMultilevel"/>
    <w:tmpl w:val="627A5326"/>
    <w:lvl w:ilvl="0" w:tplc="37309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68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C3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CA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4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63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C1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E5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0E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657"/>
    <w:multiLevelType w:val="hybridMultilevel"/>
    <w:tmpl w:val="6F34A08A"/>
    <w:lvl w:ilvl="0" w:tplc="609CB59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AE2C50A0" w:tentative="1">
      <w:start w:val="1"/>
      <w:numFmt w:val="lowerLetter"/>
      <w:lvlText w:val="%2."/>
      <w:lvlJc w:val="left"/>
      <w:pPr>
        <w:ind w:left="1440" w:hanging="360"/>
      </w:pPr>
    </w:lvl>
    <w:lvl w:ilvl="2" w:tplc="852437DA" w:tentative="1">
      <w:start w:val="1"/>
      <w:numFmt w:val="lowerRoman"/>
      <w:lvlText w:val="%3."/>
      <w:lvlJc w:val="right"/>
      <w:pPr>
        <w:ind w:left="2160" w:hanging="180"/>
      </w:pPr>
    </w:lvl>
    <w:lvl w:ilvl="3" w:tplc="2B608BD8" w:tentative="1">
      <w:start w:val="1"/>
      <w:numFmt w:val="decimal"/>
      <w:lvlText w:val="%4."/>
      <w:lvlJc w:val="left"/>
      <w:pPr>
        <w:ind w:left="2880" w:hanging="360"/>
      </w:pPr>
    </w:lvl>
    <w:lvl w:ilvl="4" w:tplc="66289E54" w:tentative="1">
      <w:start w:val="1"/>
      <w:numFmt w:val="lowerLetter"/>
      <w:lvlText w:val="%5."/>
      <w:lvlJc w:val="left"/>
      <w:pPr>
        <w:ind w:left="3600" w:hanging="360"/>
      </w:pPr>
    </w:lvl>
    <w:lvl w:ilvl="5" w:tplc="66AC657A" w:tentative="1">
      <w:start w:val="1"/>
      <w:numFmt w:val="lowerRoman"/>
      <w:lvlText w:val="%6."/>
      <w:lvlJc w:val="right"/>
      <w:pPr>
        <w:ind w:left="4320" w:hanging="180"/>
      </w:pPr>
    </w:lvl>
    <w:lvl w:ilvl="6" w:tplc="603E9CDA" w:tentative="1">
      <w:start w:val="1"/>
      <w:numFmt w:val="decimal"/>
      <w:lvlText w:val="%7."/>
      <w:lvlJc w:val="left"/>
      <w:pPr>
        <w:ind w:left="5040" w:hanging="360"/>
      </w:pPr>
    </w:lvl>
    <w:lvl w:ilvl="7" w:tplc="BE4271AA" w:tentative="1">
      <w:start w:val="1"/>
      <w:numFmt w:val="lowerLetter"/>
      <w:lvlText w:val="%8."/>
      <w:lvlJc w:val="left"/>
      <w:pPr>
        <w:ind w:left="5760" w:hanging="360"/>
      </w:pPr>
    </w:lvl>
    <w:lvl w:ilvl="8" w:tplc="FD486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D3B"/>
    <w:multiLevelType w:val="hybridMultilevel"/>
    <w:tmpl w:val="0A22165C"/>
    <w:lvl w:ilvl="0" w:tplc="680AC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03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82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26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8A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EE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5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1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41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66F0"/>
    <w:multiLevelType w:val="hybridMultilevel"/>
    <w:tmpl w:val="B1BE6320"/>
    <w:lvl w:ilvl="0" w:tplc="30348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EA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4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68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3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AE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4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A3374"/>
    <w:multiLevelType w:val="hybridMultilevel"/>
    <w:tmpl w:val="83107166"/>
    <w:lvl w:ilvl="0" w:tplc="64265BA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D7AEE24C" w:tentative="1">
      <w:start w:val="1"/>
      <w:numFmt w:val="lowerLetter"/>
      <w:lvlText w:val="%2."/>
      <w:lvlJc w:val="left"/>
      <w:pPr>
        <w:ind w:left="1440" w:hanging="360"/>
      </w:pPr>
    </w:lvl>
    <w:lvl w:ilvl="2" w:tplc="19D4432A" w:tentative="1">
      <w:start w:val="1"/>
      <w:numFmt w:val="lowerRoman"/>
      <w:lvlText w:val="%3."/>
      <w:lvlJc w:val="right"/>
      <w:pPr>
        <w:ind w:left="2160" w:hanging="180"/>
      </w:pPr>
    </w:lvl>
    <w:lvl w:ilvl="3" w:tplc="36B893F4" w:tentative="1">
      <w:start w:val="1"/>
      <w:numFmt w:val="decimal"/>
      <w:lvlText w:val="%4."/>
      <w:lvlJc w:val="left"/>
      <w:pPr>
        <w:ind w:left="2880" w:hanging="360"/>
      </w:pPr>
    </w:lvl>
    <w:lvl w:ilvl="4" w:tplc="9970F23A" w:tentative="1">
      <w:start w:val="1"/>
      <w:numFmt w:val="lowerLetter"/>
      <w:lvlText w:val="%5."/>
      <w:lvlJc w:val="left"/>
      <w:pPr>
        <w:ind w:left="3600" w:hanging="360"/>
      </w:pPr>
    </w:lvl>
    <w:lvl w:ilvl="5" w:tplc="58CC0B6E" w:tentative="1">
      <w:start w:val="1"/>
      <w:numFmt w:val="lowerRoman"/>
      <w:lvlText w:val="%6."/>
      <w:lvlJc w:val="right"/>
      <w:pPr>
        <w:ind w:left="4320" w:hanging="180"/>
      </w:pPr>
    </w:lvl>
    <w:lvl w:ilvl="6" w:tplc="D8B8CDEE" w:tentative="1">
      <w:start w:val="1"/>
      <w:numFmt w:val="decimal"/>
      <w:lvlText w:val="%7."/>
      <w:lvlJc w:val="left"/>
      <w:pPr>
        <w:ind w:left="5040" w:hanging="360"/>
      </w:pPr>
    </w:lvl>
    <w:lvl w:ilvl="7" w:tplc="9FAE7D6A" w:tentative="1">
      <w:start w:val="1"/>
      <w:numFmt w:val="lowerLetter"/>
      <w:lvlText w:val="%8."/>
      <w:lvlJc w:val="left"/>
      <w:pPr>
        <w:ind w:left="5760" w:hanging="360"/>
      </w:pPr>
    </w:lvl>
    <w:lvl w:ilvl="8" w:tplc="A8C653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83739">
    <w:abstractNumId w:val="0"/>
  </w:num>
  <w:num w:numId="2" w16cid:durableId="1777171084">
    <w:abstractNumId w:val="1"/>
  </w:num>
  <w:num w:numId="3" w16cid:durableId="1345865208">
    <w:abstractNumId w:val="2"/>
  </w:num>
  <w:num w:numId="4" w16cid:durableId="232352804">
    <w:abstractNumId w:val="4"/>
  </w:num>
  <w:num w:numId="5" w16cid:durableId="162176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62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669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F16"/>
    <w:rsid w:val="000E15E3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BEE"/>
    <w:rsid w:val="0020775D"/>
    <w:rsid w:val="00210F95"/>
    <w:rsid w:val="002116DD"/>
    <w:rsid w:val="0021383D"/>
    <w:rsid w:val="002149C4"/>
    <w:rsid w:val="00216BBA"/>
    <w:rsid w:val="00216E12"/>
    <w:rsid w:val="00217466"/>
    <w:rsid w:val="0021751D"/>
    <w:rsid w:val="00217C49"/>
    <w:rsid w:val="0022177D"/>
    <w:rsid w:val="002222FF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A72"/>
    <w:rsid w:val="00255EB6"/>
    <w:rsid w:val="00257429"/>
    <w:rsid w:val="00260FA4"/>
    <w:rsid w:val="00261183"/>
    <w:rsid w:val="00262A66"/>
    <w:rsid w:val="00263140"/>
    <w:rsid w:val="002631C8"/>
    <w:rsid w:val="002646FA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052"/>
    <w:rsid w:val="003712D5"/>
    <w:rsid w:val="0037208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31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116"/>
    <w:rsid w:val="003E6CB0"/>
    <w:rsid w:val="003E7E2A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775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104"/>
    <w:rsid w:val="00541B98"/>
    <w:rsid w:val="00543374"/>
    <w:rsid w:val="00545548"/>
    <w:rsid w:val="00546923"/>
    <w:rsid w:val="0055012A"/>
    <w:rsid w:val="00551CA6"/>
    <w:rsid w:val="00554151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4E8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4E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3F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273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2D3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05F"/>
    <w:rsid w:val="006E5692"/>
    <w:rsid w:val="006F365D"/>
    <w:rsid w:val="006F4BB0"/>
    <w:rsid w:val="0070110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71F"/>
    <w:rsid w:val="00764786"/>
    <w:rsid w:val="007661AC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829"/>
    <w:rsid w:val="007D47E1"/>
    <w:rsid w:val="007D7FCB"/>
    <w:rsid w:val="007E2D5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521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AC0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5E4"/>
    <w:rsid w:val="00915568"/>
    <w:rsid w:val="00917E0C"/>
    <w:rsid w:val="00920711"/>
    <w:rsid w:val="00921A1E"/>
    <w:rsid w:val="00924EA9"/>
    <w:rsid w:val="0092595B"/>
    <w:rsid w:val="00925A1B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BB2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2E8F"/>
    <w:rsid w:val="009C36CD"/>
    <w:rsid w:val="009C43A5"/>
    <w:rsid w:val="009C5A1D"/>
    <w:rsid w:val="009C6B08"/>
    <w:rsid w:val="009C70FC"/>
    <w:rsid w:val="009D002B"/>
    <w:rsid w:val="009D37C7"/>
    <w:rsid w:val="009D3E0A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7C0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4EB"/>
    <w:rsid w:val="00AB1655"/>
    <w:rsid w:val="00AB1873"/>
    <w:rsid w:val="00AB2C05"/>
    <w:rsid w:val="00AB3536"/>
    <w:rsid w:val="00AB474B"/>
    <w:rsid w:val="00AB5CCC"/>
    <w:rsid w:val="00AB74E2"/>
    <w:rsid w:val="00AC2E9A"/>
    <w:rsid w:val="00AC5A32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F4B"/>
    <w:rsid w:val="00B1209F"/>
    <w:rsid w:val="00B149AC"/>
    <w:rsid w:val="00B14BD2"/>
    <w:rsid w:val="00B1557F"/>
    <w:rsid w:val="00B1668D"/>
    <w:rsid w:val="00B17981"/>
    <w:rsid w:val="00B22AD8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E39"/>
    <w:rsid w:val="00B564BF"/>
    <w:rsid w:val="00B6104E"/>
    <w:rsid w:val="00B610C7"/>
    <w:rsid w:val="00B62106"/>
    <w:rsid w:val="00B626A8"/>
    <w:rsid w:val="00B65695"/>
    <w:rsid w:val="00B66526"/>
    <w:rsid w:val="00B665A3"/>
    <w:rsid w:val="00B67196"/>
    <w:rsid w:val="00B70C8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FE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ECF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AF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EC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0AA"/>
    <w:rsid w:val="00DB311F"/>
    <w:rsid w:val="00DB5264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D0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FAF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985"/>
    <w:rsid w:val="00EA5C2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22B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E77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82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E9A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DB5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0EF5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5AC5B1-7AEE-4813-BD37-3D0A71C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5E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5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5E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5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5EC0"/>
    <w:rPr>
      <w:b/>
      <w:bCs/>
    </w:rPr>
  </w:style>
  <w:style w:type="paragraph" w:styleId="Revision">
    <w:name w:val="Revision"/>
    <w:hidden/>
    <w:uiPriority w:val="99"/>
    <w:semiHidden/>
    <w:rsid w:val="00371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6272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SB01039 (Committee Report (Substituted))</vt:lpstr>
    </vt:vector>
  </TitlesOfParts>
  <Company>State of Texas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31281</dc:subject>
  <dc:creator>State of Texas</dc:creator>
  <dc:description>SB 1039 by Bettencourt-(H)Elections (Substitute Document Number: 88R 28370)</dc:description>
  <cp:lastModifiedBy>Damian Duarte</cp:lastModifiedBy>
  <cp:revision>2</cp:revision>
  <cp:lastPrinted>2003-11-26T17:21:00Z</cp:lastPrinted>
  <dcterms:created xsi:type="dcterms:W3CDTF">2023-05-18T15:23:00Z</dcterms:created>
  <dcterms:modified xsi:type="dcterms:W3CDTF">2023-05-18T15:23:00Z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23.138.128</vt:lpwstr>
  </property>
</Properties>
</file>